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30"/>
        <w:ind w:left="0" w:right="0" w:firstLine="0"/>
        <w:jc w:val="left"/>
        <w:spacing w:before="0" w:after="0" w:line="460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40"/>
        </w:rPr>
      </w:r>
      <w:r/>
    </w:p>
    <w:p>
      <w:pPr>
        <w:pStyle w:val="730"/>
        <w:ind w:left="0" w:right="0" w:firstLine="0"/>
        <w:jc w:val="center"/>
        <w:spacing w:before="0" w:after="0" w:line="460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Информация</w:t>
      </w:r>
      <w:r/>
    </w:p>
    <w:p>
      <w:pPr>
        <w:ind w:left="0" w:right="0" w:firstLine="0"/>
        <w:jc w:val="center"/>
        <w:spacing w:after="0" w:line="25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о ходе реализации национальной программы</w:t>
      </w:r>
      <w:r/>
    </w:p>
    <w:p>
      <w:pPr>
        <w:ind w:left="0" w:right="0" w:firstLine="0"/>
        <w:jc w:val="center"/>
        <w:spacing w:after="0" w:line="25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«Цифровая экономика Российской Федерации»</w:t>
      </w:r>
      <w:r/>
    </w:p>
    <w:p>
      <w:pPr>
        <w:ind w:left="0" w:right="0" w:firstLine="0"/>
        <w:jc w:val="center"/>
        <w:spacing w:after="0" w:line="25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в Республике Дагестан по состоянию на 01.01.2024 года</w:t>
      </w:r>
      <w:r/>
    </w:p>
    <w:p>
      <w:pPr>
        <w:ind w:left="0" w:right="0" w:firstLine="700"/>
        <w:jc w:val="both"/>
        <w:spacing w:after="0" w:line="25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10"/>
          <w:highlight w:val="white"/>
        </w:rPr>
        <w:t xml:space="preserve"> </w:t>
      </w:r>
      <w:r/>
    </w:p>
    <w:p>
      <w:pPr>
        <w:ind w:left="0" w:right="0" w:firstLine="700"/>
        <w:jc w:val="both"/>
        <w:spacing w:after="0" w:line="25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В целях реализации Указа Президента Российской Федерации от 7 мая 2018 г.  № 204 «О национальных целях и стратегических задачах развития Российской Федерации на период до 2024 года», в рамках федеральных проектов «Цифровые технологии», «Цифровое государств</w:t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енное управление», «Информационная безопасность», «Информационная инфраструктура» национальной программы «Цифровая экономика Российской Федерации» разработаны соответствующие региональные проекты Республики Дагестан, утвержденные Президиумом Совета при Гла</w:t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ве Республики Дагестан по стратегическому развитию и проектной деятельности в Республике Дагестан.</w:t>
      </w:r>
      <w:r/>
    </w:p>
    <w:p>
      <w:pPr>
        <w:ind w:left="0" w:right="0" w:firstLine="700"/>
        <w:jc w:val="both"/>
        <w:spacing w:after="0" w:line="25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В системе «Электронный бюджет» заключены соглашения о реализации региональных проектов «Информационная безопасность», «Информационная инфраструктура», «Цифровые технологии», «Цифровое государственное управление». </w:t>
      </w:r>
      <w:r/>
    </w:p>
    <w:p>
      <w:pPr>
        <w:ind w:left="0" w:right="0" w:firstLine="700"/>
        <w:jc w:val="both"/>
        <w:spacing w:after="0" w:line="25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 </w:t>
      </w: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Бюджет проекта в 2023 году: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всего – 0 млн рублей, в том числе:</w:t>
      </w:r>
      <w:r/>
    </w:p>
    <w:p>
      <w:pPr>
        <w:ind w:left="0" w:right="0" w:firstLine="700"/>
        <w:jc w:val="both"/>
        <w:spacing w:after="0" w:line="25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 Федеральный бюджет: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0 млн рублей.</w:t>
      </w:r>
      <w:r/>
    </w:p>
    <w:p>
      <w:pPr>
        <w:ind w:left="0" w:right="0" w:firstLine="700"/>
        <w:jc w:val="both"/>
        <w:spacing w:after="0" w:line="25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 Региональный бюджет: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0 млн рублей.</w:t>
      </w:r>
      <w:r/>
    </w:p>
    <w:p>
      <w:pPr>
        <w:ind w:left="0" w:right="0" w:firstLine="708"/>
        <w:jc w:val="both"/>
        <w:spacing w:after="0" w:line="25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 </w:t>
      </w:r>
      <w:r/>
    </w:p>
    <w:p>
      <w:pPr>
        <w:ind w:left="0" w:right="0" w:firstLine="0"/>
        <w:jc w:val="center"/>
        <w:spacing w:after="0" w:line="25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I. Региональный проект</w:t>
      </w:r>
      <w:r/>
    </w:p>
    <w:p>
      <w:pPr>
        <w:ind w:left="0" w:right="0" w:firstLine="0"/>
        <w:jc w:val="center"/>
        <w:spacing w:after="0" w:line="25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«Цифровые технологии»</w:t>
      </w:r>
      <w:r/>
    </w:p>
    <w:p>
      <w:pPr>
        <w:ind w:left="1291" w:right="0" w:hanging="1291"/>
        <w:jc w:val="both"/>
        <w:spacing w:before="0" w:after="0" w:line="25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         ·</w:t>
      </w:r>
      <w:r>
        <w:rPr>
          <w:rFonts w:ascii="Times New Roman" w:hAnsi="Times New Roman" w:eastAsia="Times New Roman" w:cs="Times New Roman"/>
          <w:color w:val="000000"/>
          <w:sz w:val="14"/>
        </w:rPr>
        <w:t xml:space="preserve">        </w:t>
      </w:r>
      <w:r>
        <w:rPr>
          <w:rFonts w:ascii="Times New Roman" w:hAnsi="Times New Roman" w:eastAsia="Times New Roman" w:cs="Times New Roman"/>
          <w:b/>
          <w:i/>
          <w:color w:val="000000"/>
          <w:sz w:val="24"/>
        </w:rPr>
        <w:t xml:space="preserve">функциональные заказчики:</w:t>
      </w:r>
      <w:r/>
    </w:p>
    <w:p>
      <w:pPr>
        <w:ind w:left="0" w:right="0" w:firstLine="700"/>
        <w:jc w:val="both"/>
        <w:spacing w:after="0" w:line="25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Министерство цифрового развития Республики Дагестан</w:t>
      </w:r>
      <w:r/>
    </w:p>
    <w:p>
      <w:pPr>
        <w:ind w:left="1291" w:right="0" w:hanging="1291"/>
        <w:jc w:val="both"/>
        <w:spacing w:before="0" w:after="0" w:line="25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         ·</w:t>
      </w:r>
      <w:r>
        <w:rPr>
          <w:rFonts w:ascii="Times New Roman" w:hAnsi="Times New Roman" w:eastAsia="Times New Roman" w:cs="Times New Roman"/>
          <w:color w:val="000000"/>
          <w:sz w:val="14"/>
        </w:rPr>
        <w:t xml:space="preserve">        </w:t>
      </w:r>
      <w:r>
        <w:rPr>
          <w:rFonts w:ascii="Times New Roman" w:hAnsi="Times New Roman" w:eastAsia="Times New Roman" w:cs="Times New Roman"/>
          <w:b/>
          <w:i/>
          <w:color w:val="000000"/>
          <w:sz w:val="24"/>
        </w:rPr>
        <w:t xml:space="preserve">планируемые к достижению результаты</w:t>
      </w:r>
      <w:r/>
    </w:p>
    <w:p>
      <w:pPr>
        <w:ind w:left="0" w:right="0" w:firstLine="709"/>
        <w:jc w:val="both"/>
        <w:spacing w:after="0" w:line="25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i/>
          <w:color w:val="000000"/>
          <w:sz w:val="24"/>
        </w:rPr>
        <w:t xml:space="preserve">Р1</w:t>
      </w:r>
      <w:r>
        <w:rPr>
          <w:rFonts w:ascii="Times New Roman" w:hAnsi="Times New Roman" w:eastAsia="Times New Roman" w:cs="Times New Roman"/>
          <w:i/>
          <w:color w:val="000000"/>
          <w:sz w:val="24"/>
        </w:rPr>
        <w:t xml:space="preserve">. Содействие в оказании консультационной поддержки и информационного сопровождения компаний, разрабатывающих или внедряющих отечественное программное обеспечение, сервисы и платформенные решения на базе цифровых технологий и находящихся на территории Респу</w:t>
      </w:r>
      <w:r>
        <w:rPr>
          <w:rFonts w:ascii="Times New Roman" w:hAnsi="Times New Roman" w:eastAsia="Times New Roman" w:cs="Times New Roman"/>
          <w:i/>
          <w:color w:val="000000"/>
          <w:sz w:val="24"/>
        </w:rPr>
        <w:t xml:space="preserve">блики Дагестан, для обеспечения их участия в конкурсных отборах на получение государственной поддержки в форме грантов из средств федерального бюджета в рамках федерального проекта;</w:t>
      </w:r>
      <w:r/>
    </w:p>
    <w:p>
      <w:pPr>
        <w:ind w:left="0" w:right="0" w:firstLine="709"/>
        <w:jc w:val="both"/>
        <w:spacing w:after="0" w:line="25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i/>
          <w:color w:val="000000"/>
          <w:sz w:val="24"/>
        </w:rPr>
        <w:t xml:space="preserve">Р2. </w:t>
      </w:r>
      <w:r>
        <w:rPr>
          <w:rFonts w:ascii="Times New Roman" w:hAnsi="Times New Roman" w:eastAsia="Times New Roman" w:cs="Times New Roman"/>
          <w:i/>
          <w:color w:val="000000"/>
          <w:sz w:val="24"/>
        </w:rPr>
        <w:t xml:space="preserve">Проведение информационной кампании о действующих конкурсных отборах на получение государственной поддержки в средствах массовой информации Республики Дагестан.</w:t>
      </w:r>
      <w:r/>
    </w:p>
    <w:p>
      <w:pPr>
        <w:ind w:left="0" w:right="0" w:firstLine="709"/>
        <w:jc w:val="both"/>
        <w:spacing w:after="0" w:line="25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Для достижения результатов планируется регулярная информационная работа с ИТ-сообществом о действующей системе мер поддержки сферы информационных технологий, в которую входит грантовое финансирование на реализацию ИТ-проектов, льготы для аккредитованных ко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мпаний, а также меры, предусмотренные Указом Президента Российской Федерации от 2 марта 2022 года № 83. Методическое сопровождение компаний в вопросах получения грантовой поддержки. Проработка вопроса внедрения дополнительных региональных мер поддержки ИТ-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отрасли. Размещение в республиканских СМИ информации о существующих мерах поддержки ИТ-отрасли.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</w:t>
      </w:r>
      <w:r/>
    </w:p>
    <w:p>
      <w:pPr>
        <w:ind w:left="0" w:right="0" w:firstLine="709"/>
        <w:jc w:val="both"/>
        <w:spacing w:after="0" w:line="25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·</w:t>
      </w:r>
      <w:r>
        <w:rPr>
          <w:rFonts w:ascii="Times New Roman" w:hAnsi="Times New Roman" w:eastAsia="Times New Roman" w:cs="Times New Roman"/>
          <w:color w:val="000000"/>
          <w:sz w:val="14"/>
        </w:rPr>
        <w:t xml:space="preserve">        </w:t>
      </w:r>
      <w:r>
        <w:rPr>
          <w:rFonts w:ascii="Times New Roman" w:hAnsi="Times New Roman" w:eastAsia="Times New Roman" w:cs="Times New Roman"/>
          <w:b/>
          <w:i/>
          <w:color w:val="000000"/>
          <w:sz w:val="24"/>
        </w:rPr>
        <w:t xml:space="preserve">заключение соглашений</w:t>
      </w:r>
      <w:r/>
    </w:p>
    <w:p>
      <w:pPr>
        <w:ind w:left="0" w:right="0" w:firstLine="700"/>
        <w:jc w:val="both"/>
        <w:spacing w:after="0" w:line="25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В системе «Электронный бюджет» заключены индикативные соглашения от 17 июля 2019 г. № 071-2019-D5001-8</w:t>
      </w:r>
      <w:r>
        <w:rPr>
          <w:rFonts w:ascii="Arial" w:hAnsi="Arial" w:eastAsia="Arial" w:cs="Arial"/>
          <w:color w:val="000000"/>
          <w:sz w:val="22"/>
        </w:rPr>
        <w:t xml:space="preserve">,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от 23.12.2020 г. № 071-2019-D5001-8/0.1, от 11.12.2020 г. № 071-2019-D5001-8/1, от 17.12.2021 № 071-2019-D5001-8/2 о реализации регионального проекта «Цифровые технологии (Республика Дагестан)» на территории Республики Дагестан.</w:t>
      </w:r>
      <w:r/>
    </w:p>
    <w:p>
      <w:pPr>
        <w:ind w:left="0" w:right="0" w:firstLine="700"/>
        <w:jc w:val="both"/>
        <w:spacing w:after="0" w:line="25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10"/>
        </w:rPr>
        <w:t xml:space="preserve"> </w:t>
      </w:r>
      <w:r>
        <w:rPr>
          <w:rFonts w:ascii="Arial" w:hAnsi="Arial" w:eastAsia="Arial" w:cs="Arial"/>
          <w:color w:val="000000"/>
          <w:sz w:val="24"/>
        </w:rPr>
        <w:t xml:space="preserve">·</w:t>
      </w:r>
      <w:r>
        <w:rPr>
          <w:rFonts w:ascii="Times New Roman" w:hAnsi="Times New Roman" w:eastAsia="Times New Roman" w:cs="Times New Roman"/>
          <w:color w:val="000000"/>
          <w:sz w:val="14"/>
        </w:rPr>
        <w:t xml:space="preserve">        </w:t>
      </w:r>
      <w:r>
        <w:rPr>
          <w:rFonts w:ascii="Times New Roman" w:hAnsi="Times New Roman" w:eastAsia="Times New Roman" w:cs="Times New Roman"/>
          <w:b/>
          <w:i/>
          <w:color w:val="000000"/>
          <w:sz w:val="24"/>
        </w:rPr>
        <w:t xml:space="preserve">бюджет регионального проекта</w:t>
      </w:r>
      <w:r/>
    </w:p>
    <w:p>
      <w:pPr>
        <w:ind w:left="0" w:right="0" w:firstLine="700"/>
        <w:jc w:val="both"/>
        <w:spacing w:after="0" w:line="25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Всего – 0,0 млн руб., в том числе:</w:t>
      </w:r>
      <w:r/>
    </w:p>
    <w:p>
      <w:pPr>
        <w:ind w:left="0" w:right="0" w:firstLine="0"/>
        <w:jc w:val="both"/>
        <w:spacing w:after="0" w:line="25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0,0 млн руб. – средства федерального бюджета;</w:t>
      </w:r>
      <w:r/>
    </w:p>
    <w:p>
      <w:pPr>
        <w:ind w:left="0" w:right="0" w:firstLine="0"/>
        <w:jc w:val="both"/>
        <w:spacing w:after="0" w:line="25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0,0 млн руб. – средства республиканского бюджета.</w:t>
      </w:r>
      <w:r/>
    </w:p>
    <w:p>
      <w:pPr>
        <w:ind w:left="0" w:right="0" w:firstLine="0"/>
        <w:jc w:val="both"/>
        <w:spacing w:after="0" w:line="25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i/>
          <w:color w:val="000000"/>
          <w:sz w:val="28"/>
        </w:rPr>
        <w:t xml:space="preserve">Кассовое исполнение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– 0%.</w:t>
      </w:r>
      <w:r/>
    </w:p>
    <w:p>
      <w:pPr>
        <w:ind w:left="1291" w:right="0" w:hanging="1291"/>
        <w:jc w:val="both"/>
        <w:spacing w:before="0" w:after="0" w:line="25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           ·</w:t>
      </w:r>
      <w:r>
        <w:rPr>
          <w:rFonts w:ascii="Times New Roman" w:hAnsi="Times New Roman" w:eastAsia="Times New Roman" w:cs="Times New Roman"/>
          <w:color w:val="000000"/>
          <w:sz w:val="14"/>
        </w:rPr>
        <w:t xml:space="preserve">        </w:t>
      </w:r>
      <w:r>
        <w:rPr>
          <w:rFonts w:ascii="Times New Roman" w:hAnsi="Times New Roman" w:eastAsia="Times New Roman" w:cs="Times New Roman"/>
          <w:b/>
          <w:i/>
          <w:color w:val="000000"/>
          <w:sz w:val="24"/>
        </w:rPr>
        <w:t xml:space="preserve">проводимая работа, достигнутые результаты</w:t>
      </w:r>
      <w:r/>
    </w:p>
    <w:p>
      <w:pPr>
        <w:ind w:left="0" w:right="0" w:firstLine="700"/>
        <w:jc w:val="both"/>
        <w:spacing w:after="0" w:line="25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Р1,Р2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. Министерством цифрового развития Республики Дагестан направлены письма в адреса ИТ-компаний  о начале конкурсного отбора технологических компаний для участия в акселерационной программе Спринт, реализуемой Фондом развития интернет-инициатив при поддержке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 Минцифры России в рамках федерального проекта «Цифровые технологии» от 20.01.2023 № 09-09-179/23, о начале приема заявок на возмещение расходов на продвижение ИТ-продукта от 08.02.2023 № 09-05/1-425/23.</w:t>
      </w:r>
      <w:r/>
    </w:p>
    <w:p>
      <w:pPr>
        <w:ind w:left="0" w:right="0" w:firstLine="567"/>
        <w:jc w:val="both"/>
        <w:spacing w:after="0" w:line="25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Также в адрес Агентства информации и печати Республики Дагестан </w:t>
        <w:br/>
        <w:t xml:space="preserve">  (от 10.04.2023 № 09-05/1-1254/23) и в адреса ИТ-компаний (от 10.04.2023 № 09-05/1-1258/23) направлены письма о действующих конкурсных отборах на получение государственной поддержки в форме </w:t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грантов на разработку и внедрение российских цифровых решений.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 </w:t>
      </w:r>
      <w:r/>
    </w:p>
    <w:p>
      <w:pPr>
        <w:ind w:left="0" w:right="0" w:firstLine="708"/>
        <w:jc w:val="both"/>
        <w:spacing w:after="0" w:line="253" w:lineRule="atLeast"/>
        <w:tabs>
          <w:tab w:val="left" w:pos="9355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В адрес ИТ-компаний РД направлены письма, информирующие о проведении Фондом развития интернет-инициатив (ФРИИ) восьмого конкурсного отбора в акселератор Спринт  № 09-05/1-1687/23 от 11.05.2023, № 09-05/1-3236/23 от 15.08.2023, о необходимости подтверждени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я государственной аккредитации ИТ-компаний № 09-05/1-1609/23 от 05.05.2023.</w:t>
      </w:r>
      <w:r/>
    </w:p>
    <w:p>
      <w:pPr>
        <w:ind w:left="0" w:right="0" w:firstLine="708"/>
        <w:jc w:val="both"/>
        <w:spacing w:after="0" w:line="253" w:lineRule="atLeast"/>
        <w:tabs>
          <w:tab w:val="left" w:pos="9355" w:leader="none"/>
        </w:tabs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Системообразующим организациям Республики Дагестан направлено письмо об осуществлении приема заявок на предоставление грантов организациям-заказчикам сервисов и платформенных решений, созданных на базе цифровых технологий, которые проводят пилотное внедрен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ие отечественных продуктов № 09-05/1-3152/23 от 09.08.2023.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left="0" w:right="0" w:firstLine="708"/>
        <w:jc w:val="both"/>
        <w:spacing w:after="0" w:line="253" w:lineRule="atLeast"/>
        <w:tabs>
          <w:tab w:val="left" w:pos="9355" w:leader="none"/>
        </w:tabs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М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инцифры РД направлено письмо в адрес коммерческих организаций, осуществляющих деятельность в области информационно-коммуникационных технологий Республики Дагестан о направлении в ФНС согласия на раскрытие налоговой тайны для сохранения аккредитации, а такж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е перечень грантов, действующих на декабрь 2023 года.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left="0" w:right="0" w:firstLine="708"/>
        <w:jc w:val="both"/>
        <w:spacing w:after="0" w:line="253" w:lineRule="atLeast"/>
        <w:tabs>
          <w:tab w:val="left" w:pos="9355" w:leader="none"/>
        </w:tabs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Также оказана консультационная поддержка ООО ТД «Майдан» о действующих грантах по состоянию на декабрь 2023 года и ООО «Айтраст» о направлении согласия на раскрытие налоговой тайны в ФНС России.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left="0" w:right="0" w:firstLine="708"/>
        <w:jc w:val="both"/>
        <w:spacing w:after="0" w:line="253" w:lineRule="atLeast"/>
        <w:tabs>
          <w:tab w:val="left" w:pos="9355" w:leader="none"/>
        </w:tabs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Кроме того, на официальном сайте Минцифры РД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hyperlink r:id="rId9" w:tooltip="https://dagestan.digital/" w:history="1">
        <w:r>
          <w:rPr>
            <w:rStyle w:val="927"/>
            <w:rFonts w:ascii="Times New Roman" w:hAnsi="Times New Roman" w:eastAsia="Times New Roman" w:cs="Times New Roman"/>
            <w:sz w:val="28"/>
            <w:szCs w:val="28"/>
            <w:highlight w:val="none"/>
          </w:rPr>
          <w:t xml:space="preserve">https://dagestan.digital/</w:t>
        </w:r>
        <w:r>
          <w:rPr>
            <w:rStyle w:val="927"/>
            <w:rFonts w:ascii="Times New Roman" w:hAnsi="Times New Roman" w:eastAsia="Times New Roman" w:cs="Times New Roman"/>
            <w:sz w:val="28"/>
            <w:szCs w:val="28"/>
            <w:highlight w:val="none"/>
          </w:rPr>
        </w:r>
      </w:hyperlink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 в разделе «Меры поддержки ИТ отрасли» публикуется актуальная информация о мерах поддержки ИТ-компаний.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left="0" w:right="0" w:firstLine="709"/>
        <w:jc w:val="both"/>
        <w:spacing w:line="65" w:lineRule="atLeast"/>
        <w:rPr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Указом Главы Республики Дагестан</w:t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 от 27 декабря 2023 г. № 232 </w:t>
        <w:br/>
        <w:t xml:space="preserve">«О внесении изменений в Указ Главы Республики Дагестан от 14 июля 2015 г. № 151 «О грантах Главы Республики Дагестан» и в перечень грантов Главы Республики Дагестан и их размеры, утвержденные этим Указом»</w:t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 приняты  в области информационно-коммуникационных технологий  </w:t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2 гранта</w:t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 на создание новых и развитие действующих платформ на базе цифровых технологий и 2 гранта на создание новых и развитие действующих </w:t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коммуникационных и </w:t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социальных сервисов</w:t>
      </w:r>
      <w:r>
        <w:rPr>
          <w:highlight w:val="white"/>
        </w:rPr>
        <w:t xml:space="preserve">.</w:t>
      </w:r>
      <w:r>
        <w:rPr>
          <w:highlight w:val="none"/>
        </w:rPr>
      </w:r>
      <w:r>
        <w:rPr>
          <w:highlight w:val="none"/>
        </w:rPr>
      </w:r>
    </w:p>
    <w:p>
      <w:pPr>
        <w:ind w:left="0" w:right="0" w:firstLine="0"/>
        <w:spacing w:after="0" w:line="25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 </w:t>
      </w:r>
      <w:r/>
    </w:p>
    <w:p>
      <w:pPr>
        <w:ind w:left="0" w:right="0" w:firstLine="709"/>
        <w:jc w:val="both"/>
        <w:spacing w:after="0" w:line="25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·</w:t>
      </w:r>
      <w:r>
        <w:rPr>
          <w:rFonts w:ascii="Times New Roman" w:hAnsi="Times New Roman" w:eastAsia="Times New Roman" w:cs="Times New Roman"/>
          <w:color w:val="000000"/>
          <w:sz w:val="14"/>
        </w:rPr>
        <w:t xml:space="preserve">        </w:t>
      </w:r>
      <w:r>
        <w:rPr>
          <w:rFonts w:ascii="Times New Roman" w:hAnsi="Times New Roman" w:eastAsia="Times New Roman" w:cs="Times New Roman"/>
          <w:b/>
          <w:i/>
          <w:color w:val="000000"/>
          <w:sz w:val="24"/>
        </w:rPr>
        <w:t xml:space="preserve">заключение контрактов</w:t>
      </w:r>
      <w:r/>
    </w:p>
    <w:p>
      <w:pPr>
        <w:ind w:left="0" w:right="0" w:firstLine="709"/>
        <w:spacing w:after="0" w:line="25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     -</w:t>
      </w:r>
      <w:r/>
    </w:p>
    <w:p>
      <w:pPr>
        <w:ind w:left="0" w:right="0" w:firstLine="709"/>
        <w:jc w:val="both"/>
        <w:spacing w:before="0" w:after="0" w:line="25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·</w:t>
      </w:r>
      <w:r>
        <w:rPr>
          <w:rFonts w:ascii="Times New Roman" w:hAnsi="Times New Roman" w:eastAsia="Times New Roman" w:cs="Times New Roman"/>
          <w:color w:val="000000"/>
          <w:sz w:val="14"/>
        </w:rPr>
        <w:t xml:space="preserve">        </w:t>
      </w:r>
      <w:r>
        <w:rPr>
          <w:rFonts w:ascii="Times New Roman" w:hAnsi="Times New Roman" w:eastAsia="Times New Roman" w:cs="Times New Roman"/>
          <w:b/>
          <w:i/>
          <w:color w:val="000000"/>
          <w:sz w:val="24"/>
        </w:rPr>
        <w:t xml:space="preserve">имеющиеся проблемы и сроки их решения</w:t>
      </w:r>
      <w:r/>
    </w:p>
    <w:p>
      <w:pPr>
        <w:ind w:left="0" w:right="0" w:firstLine="709"/>
        <w:jc w:val="both"/>
        <w:spacing w:after="0" w:line="25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     -</w:t>
      </w:r>
      <w:r/>
    </w:p>
    <w:p>
      <w:pPr>
        <w:ind w:left="0" w:right="0" w:firstLine="709"/>
        <w:jc w:val="both"/>
        <w:spacing w:before="0" w:after="0" w:line="25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·</w:t>
      </w:r>
      <w:r>
        <w:rPr>
          <w:rFonts w:ascii="Times New Roman" w:hAnsi="Times New Roman" w:eastAsia="Times New Roman" w:cs="Times New Roman"/>
          <w:color w:val="000000"/>
          <w:sz w:val="14"/>
        </w:rPr>
        <w:t xml:space="preserve">        </w:t>
      </w:r>
      <w:r>
        <w:rPr>
          <w:rFonts w:ascii="Times New Roman" w:hAnsi="Times New Roman" w:eastAsia="Times New Roman" w:cs="Times New Roman"/>
          <w:b/>
          <w:i/>
          <w:color w:val="000000"/>
          <w:sz w:val="24"/>
        </w:rPr>
        <w:t xml:space="preserve">оставшиеся мероприятия</w:t>
      </w:r>
      <w:r/>
    </w:p>
    <w:p>
      <w:pPr>
        <w:ind w:left="0" w:right="0" w:firstLine="709"/>
        <w:jc w:val="both"/>
        <w:spacing w:after="0" w:line="25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      -</w:t>
      </w:r>
      <w:r/>
    </w:p>
    <w:p>
      <w:pPr>
        <w:ind w:left="0" w:right="0" w:firstLine="709"/>
        <w:jc w:val="both"/>
        <w:spacing w:before="0" w:after="0" w:line="25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·</w:t>
      </w:r>
      <w:r>
        <w:rPr>
          <w:rFonts w:ascii="Times New Roman" w:hAnsi="Times New Roman" w:eastAsia="Times New Roman" w:cs="Times New Roman"/>
          <w:color w:val="000000"/>
          <w:sz w:val="14"/>
        </w:rPr>
        <w:t xml:space="preserve">        </w:t>
      </w:r>
      <w:r>
        <w:rPr>
          <w:rFonts w:ascii="Times New Roman" w:hAnsi="Times New Roman" w:eastAsia="Times New Roman" w:cs="Times New Roman"/>
          <w:b/>
          <w:i/>
          <w:color w:val="000000"/>
          <w:sz w:val="24"/>
        </w:rPr>
        <w:t xml:space="preserve">участие МО в реализации проекта</w:t>
      </w:r>
      <w:r/>
    </w:p>
    <w:p>
      <w:pPr>
        <w:ind w:left="0" w:right="0" w:firstLine="709"/>
        <w:jc w:val="both"/>
        <w:spacing w:after="0" w:line="25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     Все МО Республики Дагестан</w:t>
      </w:r>
      <w:r/>
    </w:p>
    <w:p>
      <w:pPr>
        <w:ind w:left="0" w:right="0" w:firstLine="0"/>
        <w:jc w:val="both"/>
        <w:spacing w:after="0" w:line="25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 </w:t>
      </w:r>
      <w:r/>
    </w:p>
    <w:p>
      <w:pPr>
        <w:ind w:left="0" w:right="0" w:firstLine="0"/>
        <w:jc w:val="center"/>
        <w:spacing w:after="0" w:line="25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II. Региональный проект</w:t>
      </w:r>
      <w:r/>
    </w:p>
    <w:p>
      <w:pPr>
        <w:ind w:left="0" w:right="0" w:firstLine="0"/>
        <w:jc w:val="center"/>
        <w:spacing w:after="0" w:line="25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«Цифровое государственное управление»</w:t>
      </w:r>
      <w:r/>
    </w:p>
    <w:p>
      <w:pPr>
        <w:ind w:left="1149" w:right="0" w:hanging="1149"/>
        <w:spacing w:before="0" w:after="0" w:line="25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           ·    </w:t>
      </w:r>
      <w:r>
        <w:rPr>
          <w:rFonts w:ascii="Times New Roman" w:hAnsi="Times New Roman" w:eastAsia="Times New Roman" w:cs="Times New Roman"/>
          <w:color w:val="000000"/>
          <w:sz w:val="14"/>
        </w:rPr>
        <w:t xml:space="preserve"> </w:t>
      </w:r>
      <w:r>
        <w:rPr>
          <w:rFonts w:ascii="Times New Roman" w:hAnsi="Times New Roman" w:eastAsia="Times New Roman" w:cs="Times New Roman"/>
          <w:b/>
          <w:i/>
          <w:color w:val="000000"/>
          <w:sz w:val="24"/>
        </w:rPr>
        <w:t xml:space="preserve">функциональные заказчики:</w:t>
      </w:r>
      <w:r/>
    </w:p>
    <w:p>
      <w:pPr>
        <w:ind w:left="20" w:right="0" w:hanging="20"/>
        <w:jc w:val="both"/>
        <w:spacing w:before="0" w:after="0" w:line="25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        Министерство цифрового развития Республики Дагестан</w:t>
      </w:r>
      <w:r/>
    </w:p>
    <w:p>
      <w:pPr>
        <w:ind w:left="326" w:right="0" w:firstLine="0"/>
        <w:jc w:val="both"/>
        <w:spacing w:before="0" w:after="0" w:line="253" w:lineRule="atLeast"/>
        <w:tabs>
          <w:tab w:val="left" w:pos="993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i/>
          <w:color w:val="000000"/>
          <w:sz w:val="24"/>
        </w:rPr>
        <w:t xml:space="preserve">       </w:t>
      </w:r>
      <w:r>
        <w:rPr>
          <w:rFonts w:ascii="Arial" w:hAnsi="Arial" w:eastAsia="Arial" w:cs="Arial"/>
          <w:color w:val="000000"/>
          <w:sz w:val="24"/>
        </w:rPr>
        <w:t xml:space="preserve">·</w:t>
      </w:r>
      <w:r>
        <w:rPr>
          <w:rFonts w:ascii="Times New Roman" w:hAnsi="Times New Roman" w:eastAsia="Times New Roman" w:cs="Times New Roman"/>
          <w:b/>
          <w:i/>
          <w:color w:val="000000"/>
          <w:sz w:val="24"/>
        </w:rPr>
        <w:t xml:space="preserve">     планируемые к достижению результаты</w:t>
      </w:r>
      <w:r/>
    </w:p>
    <w:p>
      <w:pPr>
        <w:ind w:left="0" w:right="0" w:firstLine="0"/>
        <w:jc w:val="both"/>
        <w:spacing w:after="0" w:line="253" w:lineRule="atLeast"/>
        <w:tabs>
          <w:tab w:val="left" w:pos="567" w:leader="none"/>
          <w:tab w:val="left" w:pos="993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i/>
          <w:color w:val="000000"/>
          <w:sz w:val="24"/>
        </w:rPr>
        <w:tab/>
        <w:t xml:space="preserve">Р1.</w:t>
      </w:r>
      <w:r>
        <w:rPr>
          <w:rFonts w:ascii="Times New Roman" w:hAnsi="Times New Roman" w:eastAsia="Times New Roman" w:cs="Times New Roman"/>
          <w:i/>
          <w:color w:val="000000"/>
          <w:sz w:val="24"/>
        </w:rPr>
        <w:t xml:space="preserve"> Обеспечение использования Облачной цифровой платформы обеспечения оказания государственных (муниципальных) услуг и сервисов, в том числе в электронном виде;</w:t>
      </w:r>
      <w:r/>
    </w:p>
    <w:p>
      <w:pPr>
        <w:ind w:left="0" w:right="0" w:firstLine="0"/>
        <w:jc w:val="both"/>
        <w:spacing w:after="0" w:line="253" w:lineRule="atLeast"/>
        <w:tabs>
          <w:tab w:val="left" w:pos="567" w:leader="none"/>
          <w:tab w:val="left" w:pos="993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i/>
          <w:color w:val="000000"/>
          <w:sz w:val="24"/>
        </w:rPr>
        <w:t xml:space="preserve">        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В Республике Дагестан проведена работа по переводу в электронный формат 82 региональных массовых социально значимых услуг предоставляемых посредством Единого портала государственных услуг (в 17 органах исполнительной власти и 52 администрациях муниципальны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х районов и городских округов). 66 из 82 услуг предоставляются посредством Облачной цифровой платформы обеспечения оказания государственных (муниципальных) услуг и сервисов (далее – ПГС), оставшиеся 16 услуг предоставляются посредством ведомственных информ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ационных систем. </w:t>
      </w:r>
      <w:r/>
    </w:p>
    <w:p>
      <w:pPr>
        <w:ind w:left="0" w:right="0" w:firstLine="0"/>
        <w:jc w:val="both"/>
        <w:spacing w:after="0" w:line="253" w:lineRule="atLeast"/>
        <w:tabs>
          <w:tab w:val="left" w:pos="567" w:leader="none"/>
          <w:tab w:val="left" w:pos="993" w:leader="none"/>
        </w:tabs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ab/>
        <w:t xml:space="preserve">В случае увеличения количества массовых социально значимых услуг в федеральном перечне, Минцифры РД совместно с ОИВ и ОМСУ РД будет проведена работа по обеспечению перевода массовых социально значимых услуг в электронный формат.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left="0" w:right="0" w:firstLine="709"/>
        <w:jc w:val="both"/>
        <w:spacing w:after="0" w:line="253" w:lineRule="atLeast"/>
        <w:tabs>
          <w:tab w:val="left" w:pos="567" w:leader="none"/>
          <w:tab w:val="left" w:pos="993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highlight w:val="none"/>
        </w:rPr>
        <w:t xml:space="preserve">Планируется проведение популяризации процесса получения государственных и муниципальных услуг посредством теле и радиовещаний, информирования населения через официальные сай</w:t>
      </w:r>
      <w:r>
        <w:rPr>
          <w:rFonts w:ascii="Times New Roman" w:hAnsi="Times New Roman" w:eastAsia="Times New Roman" w:cs="Times New Roman"/>
          <w:color w:val="000000"/>
          <w:sz w:val="28"/>
          <w:highlight w:val="none"/>
        </w:rPr>
        <w:t xml:space="preserve">ты и информационные каналы в социальных сетях, в том числе услуг по аттестации педагогических работников, записи в образовательные организации среднего профессионального образования, записи в детский сад, организации отдыха детей в каникулярное время и др.</w:t>
      </w:r>
      <w:r>
        <w:rPr>
          <w:rFonts w:ascii="Times New Roman" w:hAnsi="Times New Roman" w:eastAsia="Times New Roman" w:cs="Times New Roman"/>
          <w:color w:val="000000"/>
          <w:sz w:val="28"/>
          <w:highlight w:val="none"/>
        </w:rPr>
      </w:r>
      <w:r/>
    </w:p>
    <w:p>
      <w:pPr>
        <w:ind w:left="0" w:right="0" w:firstLine="0"/>
        <w:jc w:val="both"/>
        <w:spacing w:after="0" w:line="253" w:lineRule="atLeast"/>
        <w:tabs>
          <w:tab w:val="left" w:pos="567" w:leader="none"/>
          <w:tab w:val="left" w:pos="993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i/>
          <w:color w:val="000000"/>
          <w:sz w:val="28"/>
        </w:rPr>
        <w:tab/>
      </w:r>
      <w:r>
        <w:rPr>
          <w:rFonts w:ascii="Times New Roman" w:hAnsi="Times New Roman" w:eastAsia="Times New Roman" w:cs="Times New Roman"/>
          <w:b/>
          <w:i/>
          <w:color w:val="000000"/>
          <w:sz w:val="24"/>
          <w:szCs w:val="24"/>
        </w:rPr>
        <w:t xml:space="preserve">Р2</w:t>
      </w:r>
      <w:r>
        <w:rPr>
          <w:rFonts w:ascii="Times New Roman" w:hAnsi="Times New Roman" w:eastAsia="Times New Roman" w:cs="Times New Roman"/>
          <w:b/>
          <w:i/>
          <w:color w:val="000000"/>
          <w:sz w:val="28"/>
        </w:rPr>
        <w:t xml:space="preserve">.</w:t>
      </w:r>
      <w:r>
        <w:rPr>
          <w:rFonts w:ascii="Times New Roman" w:hAnsi="Times New Roman" w:eastAsia="Times New Roman" w:cs="Times New Roman"/>
          <w:i/>
          <w:color w:val="000000"/>
          <w:sz w:val="28"/>
        </w:rPr>
        <w:t xml:space="preserve"> </w:t>
      </w:r>
      <w:r>
        <w:rPr>
          <w:rFonts w:ascii="Times New Roman" w:hAnsi="Times New Roman" w:eastAsia="Times New Roman" w:cs="Times New Roman"/>
          <w:i/>
          <w:color w:val="000000"/>
          <w:sz w:val="24"/>
        </w:rPr>
        <w:t xml:space="preserve">Обеспечение взаимодействия граждан и органов государственной власти с использованием платформы обратной связи;</w:t>
      </w:r>
      <w:r/>
    </w:p>
    <w:p>
      <w:pPr>
        <w:ind w:left="0" w:right="0" w:firstLine="0"/>
        <w:jc w:val="both"/>
        <w:spacing w:after="0" w:line="253" w:lineRule="atLeast"/>
        <w:tabs>
          <w:tab w:val="left" w:pos="567" w:leader="none"/>
          <w:tab w:val="left" w:pos="993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ab/>
        <w:t xml:space="preserve">В текущем году Минцифры РД совместно с Центром управления регионом Республики Дагестан координирует работу органов исполнительной власти и органов местного самоуправления Республики Дагестан по подключению ЦЗН, ЦСОН, МФЦ, УО и РСО к Платформе обратной свя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зи (ПОС).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</w:t>
      </w:r>
      <w:r/>
    </w:p>
    <w:p>
      <w:pPr>
        <w:ind w:left="0" w:right="0" w:firstLine="0"/>
        <w:jc w:val="both"/>
        <w:spacing w:after="0" w:line="253" w:lineRule="atLeast"/>
        <w:tabs>
          <w:tab w:val="left" w:pos="567" w:leader="none"/>
          <w:tab w:val="left" w:pos="993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ab/>
      </w:r>
      <w:r>
        <w:rPr>
          <w:rFonts w:ascii="Times New Roman" w:hAnsi="Times New Roman" w:eastAsia="Times New Roman" w:cs="Times New Roman"/>
          <w:b/>
          <w:i/>
          <w:color w:val="000000"/>
          <w:sz w:val="24"/>
        </w:rPr>
        <w:t xml:space="preserve">Р3.</w:t>
      </w:r>
      <w:r>
        <w:rPr>
          <w:rFonts w:ascii="Times New Roman" w:hAnsi="Times New Roman" w:eastAsia="Times New Roman" w:cs="Times New Roman"/>
          <w:i/>
          <w:color w:val="000000"/>
          <w:sz w:val="24"/>
        </w:rPr>
        <w:t xml:space="preserve"> Информирование о доступных электронных услугах и сервисах, а также о преимуществах использования механизмов получения государственных и муниципальных услуг в электронной форме.</w:t>
      </w:r>
      <w:r/>
    </w:p>
    <w:p>
      <w:pPr>
        <w:ind w:left="0" w:right="0" w:firstLine="700"/>
        <w:jc w:val="both"/>
        <w:spacing w:after="0" w:line="25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·</w:t>
      </w:r>
      <w:r>
        <w:rPr>
          <w:rFonts w:ascii="Times New Roman" w:hAnsi="Times New Roman" w:eastAsia="Times New Roman" w:cs="Times New Roman"/>
          <w:color w:val="000000"/>
          <w:sz w:val="14"/>
        </w:rPr>
        <w:t xml:space="preserve">        </w:t>
      </w:r>
      <w:r>
        <w:rPr>
          <w:rFonts w:ascii="Times New Roman" w:hAnsi="Times New Roman" w:eastAsia="Times New Roman" w:cs="Times New Roman"/>
          <w:b/>
          <w:i/>
          <w:color w:val="000000"/>
          <w:sz w:val="24"/>
        </w:rPr>
        <w:t xml:space="preserve">заключение соглашений</w:t>
      </w:r>
      <w:r/>
    </w:p>
    <w:p>
      <w:pPr>
        <w:ind w:left="0" w:right="0" w:firstLine="700"/>
        <w:jc w:val="both"/>
        <w:spacing w:after="0" w:line="25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В системе «Электронный бюджет» заключено индикативное соглашение от 17 июля 2019 г. № 071-2019-D6001-5, дополнительные соглашения от 03.09.2019 г. № 071-2019-D6001-5/1, от 09 декабря 2019 г. № 071-2019-D6001-5/2, от 12 декабря 2019 г. № 071-2019-D6001-5/3,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 от 23.12.2020 г. № 071-2019-D6001-5/3.1, от 16.12.2020 г. № 071-2019-D6001-5/4 о реализации регионального проекта «Цифровые государственное управление (Республика Дагестан)» на территории Республики Дагестан, соглашение о предоставлении субсидии из федера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льного бюджета от 24.12.2019 г. №071-09-2020-097, дополнительное соглашение от 30.04.2020 г. №071-09-2020-097/1.</w:t>
      </w:r>
      <w:r/>
    </w:p>
    <w:p>
      <w:pPr>
        <w:ind w:left="1291" w:right="0" w:hanging="1291"/>
        <w:jc w:val="both"/>
        <w:spacing w:before="240" w:after="240" w:line="253" w:lineRule="atLeast"/>
        <w:tabs>
          <w:tab w:val="left" w:pos="6111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           ·</w:t>
      </w:r>
      <w:r>
        <w:rPr>
          <w:rFonts w:ascii="Times New Roman" w:hAnsi="Times New Roman" w:eastAsia="Times New Roman" w:cs="Times New Roman"/>
          <w:color w:val="000000"/>
          <w:sz w:val="14"/>
        </w:rPr>
        <w:t xml:space="preserve">        </w:t>
      </w:r>
      <w:r>
        <w:rPr>
          <w:rFonts w:ascii="Times New Roman" w:hAnsi="Times New Roman" w:eastAsia="Times New Roman" w:cs="Times New Roman"/>
          <w:b/>
          <w:i/>
          <w:color w:val="000000"/>
          <w:sz w:val="24"/>
        </w:rPr>
        <w:t xml:space="preserve">планируемые к достижению показатели</w:t>
        <w:tab/>
      </w:r>
      <w:r/>
    </w:p>
    <w:tbl>
      <w:tblPr>
        <w:tblStyle w:val="801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46"/>
        <w:gridCol w:w="4190"/>
        <w:gridCol w:w="891"/>
        <w:gridCol w:w="825"/>
        <w:gridCol w:w="848"/>
        <w:gridCol w:w="2169"/>
      </w:tblGrid>
      <w:tr>
        <w:trPr>
          <w:trHeight w:val="626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54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</w:rPr>
              <w:t xml:space="preserve">№</w:t>
            </w:r>
            <w:r/>
          </w:p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</w:rPr>
              <w:t xml:space="preserve">п/п</w:t>
            </w:r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419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</w:rPr>
              <w:t xml:space="preserve">Показатели</w:t>
            </w:r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89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</w:rPr>
              <w:t xml:space="preserve">План</w:t>
            </w:r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82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</w:rPr>
              <w:t xml:space="preserve">Факт</w:t>
            </w:r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84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</w:rPr>
              <w:t xml:space="preserve">%</w:t>
            </w:r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216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</w:rPr>
              <w:t xml:space="preserve">Примечание</w:t>
            </w:r>
            <w:r/>
          </w:p>
        </w:tc>
      </w:tr>
      <w:tr>
        <w:trPr>
          <w:trHeight w:val="1835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54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1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419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Доля массовых социально значимых государственных и муниципальных услуг в электронном виде, предоставляемых с использованием ЕПГУ, от общего количества таких услуг, предоставляемых в электронном виде, %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89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</w:rPr>
              <w:t xml:space="preserve">95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82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5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</w:rPr>
              <w:t xml:space="preserve">100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84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5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</w:rPr>
              <w:t xml:space="preserve"> 105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216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shd w:val="clear" w:color="ffffff" w:fill="ffffff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highlight w:val="white"/>
              </w:rPr>
              <w:t xml:space="preserve">Количество региональных МСЗУ, переведенных в эл. формат – 82.</w:t>
            </w:r>
            <w:r/>
          </w:p>
          <w:p>
            <w:pPr>
              <w:ind w:left="0" w:right="0" w:firstLine="0"/>
              <w:spacing w:after="0" w:line="253" w:lineRule="atLeast"/>
              <w:shd w:val="clear" w:color="ffffff" w:fill="ffffff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highlight w:val="white"/>
              </w:rPr>
              <w:t xml:space="preserve">Общее количество региональных МСЗУ – 8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</w:rPr>
              <w:t xml:space="preserve">2</w:t>
            </w:r>
            <w:r/>
          </w:p>
        </w:tc>
      </w:tr>
      <w:tr>
        <w:trPr>
          <w:trHeight w:val="1920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54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2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419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Уровень удовлетворенности качеством предоставления массовых социально значимых государственных и муниципальных услуг в электронном виде с использованием Единого портала государственных и муниципальных услуг (ЕПГУ), балл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89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</w:rPr>
              <w:t xml:space="preserve">4,0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82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</w:rPr>
              <w:t xml:space="preserve">4,14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84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</w:rPr>
              <w:t xml:space="preserve">104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216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highlight w:val="white"/>
              </w:rPr>
              <w:t xml:space="preserve">Информация из системы Ситуационного центра Минцифры России на отчетную дату</w:t>
            </w:r>
            <w:r/>
          </w:p>
        </w:tc>
      </w:tr>
      <w:tr>
        <w:trPr>
          <w:trHeight w:val="2331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54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3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419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Доля обращений за получением массовых социально значимых государственных и муниципальных услуг в электронном виде с использованием ЕПГУ, без необходимости личного посещения органов государственной власти, органов местного самоуправления и МФЦ, от общего ко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личества таких услуг, %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89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</w:rPr>
              <w:t xml:space="preserve">40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82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</w:rPr>
              <w:t xml:space="preserve">41,5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84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</w:rPr>
              <w:t xml:space="preserve">104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216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shd w:val="clear" w:color="ffffff" w:fill="ffffff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highlight w:val="white"/>
              </w:rPr>
              <w:t xml:space="preserve">Количество обращений за получением региональных МСЗУ в электронном виде с использованием ЕПГУ за период с 01.01.23 -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512513</w:t>
            </w:r>
            <w:r/>
          </w:p>
          <w:p>
            <w:pPr>
              <w:ind w:left="0" w:right="0" w:firstLine="0"/>
              <w:spacing w:after="0"/>
              <w:shd w:val="clear" w:color="ffffff" w:fill="ffffff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highlight w:val="white"/>
              </w:rPr>
              <w:t xml:space="preserve">Общее количество обращений за получением региональных МСЗУ во всех формах обращений за период с 01.01.23 -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1 235 610</w:t>
            </w:r>
            <w:r/>
          </w:p>
        </w:tc>
      </w:tr>
      <w:tr>
        <w:trPr>
          <w:trHeight w:val="2229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54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4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419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Доля зарегистрированных пользователей ЕПГУ, использующих сервисы ЕПГУ в текущем году в целях получения государственных и муниципальных услуг в электронном виде, от общего числа зарегистрированных пользователей ЕПГУ, %</w:t>
            </w:r>
            <w:r/>
          </w:p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 </w:t>
            </w:r>
            <w:r/>
          </w:p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89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</w:rPr>
              <w:t xml:space="preserve">50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82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5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</w:rPr>
              <w:t xml:space="preserve">73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84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5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</w:rPr>
              <w:t xml:space="preserve">146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216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line="25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highlight w:val="white"/>
              </w:rPr>
              <w:t xml:space="preserve">Отчет Ситуационного центра Минцифры России</w:t>
            </w:r>
            <w:r/>
          </w:p>
        </w:tc>
      </w:tr>
      <w:tr>
        <w:trPr>
          <w:trHeight w:val="1559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54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5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419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Количество реализованных на базе единой платформы сервисов обеспечения функций органов государственной власти и органов местного самоуправления, в том числе типовых функций, штука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89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</w:rPr>
              <w:t xml:space="preserve">82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82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5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</w:rPr>
              <w:t xml:space="preserve">82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84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5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</w:rPr>
              <w:t xml:space="preserve"> 100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216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shd w:val="clear" w:color="ffffff" w:fill="ffffff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highlight w:val="white"/>
              </w:rPr>
              <w:t xml:space="preserve">Количество региональных услуг из Перечня МСЗУ, для которых реализован процесс предоставления на ЕПГУ (ПГС) </w:t>
            </w:r>
            <w:r/>
          </w:p>
          <w:p>
            <w:pPr>
              <w:ind w:left="0" w:right="0" w:firstLine="0"/>
              <w:spacing w:after="0" w:line="253" w:lineRule="atLeast"/>
              <w:shd w:val="clear" w:color="ffffff" w:fill="ffffff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highlight w:val="white"/>
              </w:rPr>
              <w:t xml:space="preserve"> Количество региональных услуг из Перечня МСЗУ, предоставляемых посредством ВИС  (ПГС-66 +  ВИС-16 = 82)</w:t>
            </w:r>
            <w:r/>
          </w:p>
        </w:tc>
      </w:tr>
      <w:tr>
        <w:trPr>
          <w:trHeight w:val="2126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54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6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419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Количество государственных услуг, предоставляемых органами государственной власти в реестровой модели и/или в проактивном режиме с предоставлением результата в электронном виде на ЕПГУ, условная единица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89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</w:rPr>
              <w:t xml:space="preserve">82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82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5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</w:rPr>
              <w:t xml:space="preserve">82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84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5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</w:rPr>
              <w:t xml:space="preserve">100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216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line="25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highlight w:val="white"/>
              </w:rPr>
              <w:t xml:space="preserve">Равен количеству региональных услуг из Перечня МСЗУ, которые отвечают критериям доступности в электронном виде, что одновременно означает соответствие реестровой модели предоставления с результатом на ЕПГУ или РПГУ = 8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2</w:t>
            </w:r>
            <w:r/>
          </w:p>
        </w:tc>
      </w:tr>
      <w:tr>
        <w:trPr>
          <w:trHeight w:val="676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54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7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419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Количество видов сведений, предоставляемых в режиме онлайн органами государственной власти в рамках межведомственного взаимодействия при предоставлении государственных услуг и исполнения функций, в том числе коммерческих организаций в соответствии с законо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дательством, условная единица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89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</w:rPr>
              <w:t xml:space="preserve">3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82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</w:rPr>
              <w:t xml:space="preserve">3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84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</w:rPr>
              <w:t xml:space="preserve">100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216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line="25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highlight w:val="white"/>
              </w:rPr>
              <w:t xml:space="preserve">В регионе создана и функционирует витрина данных, обеспечивающая информационное взаимодействия при предоставлении в электронной форме услуги «Запись на прием к врачу» и «Электронный журнал»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highlight w:val="none"/>
              </w:rPr>
              <w:t xml:space="preserve">. Развернута витрина данных для ГИР ВУ, по линии Минздрава РД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highlight w:val="white"/>
              </w:rPr>
            </w:r>
            <w:r/>
          </w:p>
        </w:tc>
      </w:tr>
      <w:tr>
        <w:trPr>
          <w:trHeight w:val="676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54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8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419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Доля органов государственной власти, использующих государственные облачные сервисы и инфраструктуру, процент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89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</w:rPr>
              <w:t xml:space="preserve">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82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</w:rPr>
              <w:t xml:space="preserve">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84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</w:rPr>
              <w:t xml:space="preserve">100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216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 </w:t>
            </w:r>
            <w:r/>
          </w:p>
        </w:tc>
      </w:tr>
      <w:tr>
        <w:trPr>
          <w:trHeight w:val="676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54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9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419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Доля расходов на закупки и/или аренду отечественного программного обеспечения и платформ от общих расходов на закупку или аренду программного обеспечения, процент</w:t>
              <w:tab/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89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</w:rPr>
              <w:t xml:space="preserve">93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82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</w:rPr>
              <w:t xml:space="preserve">100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84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</w:rPr>
              <w:t xml:space="preserve"> 108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216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 </w:t>
            </w:r>
            <w:r/>
          </w:p>
        </w:tc>
      </w:tr>
    </w:tbl>
    <w:p>
      <w:pPr>
        <w:ind w:left="0" w:right="0" w:firstLine="700"/>
        <w:jc w:val="both"/>
        <w:spacing w:after="0" w:line="25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10"/>
        </w:rPr>
        <w:t xml:space="preserve"> </w:t>
      </w:r>
      <w:r>
        <w:rPr>
          <w:rFonts w:ascii="Arial" w:hAnsi="Arial" w:eastAsia="Arial" w:cs="Arial"/>
          <w:color w:val="000000"/>
          <w:sz w:val="24"/>
        </w:rPr>
        <w:t xml:space="preserve">·</w:t>
      </w:r>
      <w:r>
        <w:rPr>
          <w:rFonts w:ascii="Times New Roman" w:hAnsi="Times New Roman" w:eastAsia="Times New Roman" w:cs="Times New Roman"/>
          <w:color w:val="000000"/>
          <w:sz w:val="14"/>
        </w:rPr>
        <w:t xml:space="preserve">         </w:t>
      </w:r>
      <w:r>
        <w:rPr>
          <w:rFonts w:ascii="Times New Roman" w:hAnsi="Times New Roman" w:eastAsia="Times New Roman" w:cs="Times New Roman"/>
          <w:b/>
          <w:i/>
          <w:color w:val="000000"/>
          <w:sz w:val="24"/>
        </w:rPr>
        <w:t xml:space="preserve">проводимая работа, достигнутые результаты</w:t>
      </w:r>
      <w:r/>
    </w:p>
    <w:p>
      <w:pPr>
        <w:ind w:left="0" w:right="0" w:firstLine="709"/>
        <w:jc w:val="both"/>
        <w:spacing w:after="0" w:line="253" w:lineRule="atLeast"/>
        <w:rPr>
          <w:b w:val="0"/>
          <w:bCs w:val="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Р2</w:t>
      </w: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.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</w:rPr>
        <w:t xml:space="preserve"> 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</w:rPr>
        <w:t xml:space="preserve">В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</w:rPr>
        <w:t xml:space="preserve"> рамках обеспечения взаимодействия граждан с органами власти Республики Дагестан с использование единого цифрового окна обратной связи, обеспечена регистрация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highlight w:val="none"/>
        </w:rPr>
        <w:t xml:space="preserve"> на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highlight w:val="none"/>
        </w:rPr>
        <w:t xml:space="preserve">Платформе обратной связи 3979 организаций и создано 4796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highlight w:val="none"/>
        </w:rPr>
        <w:t xml:space="preserve">ли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</w:rPr>
        <w:t xml:space="preserve">чных кабинетов сотрудников, ответст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</w:rPr>
        <w:t xml:space="preserve">венных за своевременное рассмотрение обращений граждан.</w:t>
      </w:r>
      <w:r>
        <w:rPr>
          <w:b w:val="0"/>
          <w:bCs w:val="0"/>
        </w:rPr>
      </w:r>
      <w:r>
        <w:rPr>
          <w:b w:val="0"/>
          <w:bCs w:val="0"/>
        </w:rPr>
      </w:r>
    </w:p>
    <w:p>
      <w:pPr>
        <w:ind w:left="0" w:right="0" w:firstLine="709"/>
        <w:jc w:val="both"/>
        <w:spacing w:after="0" w:line="253" w:lineRule="atLeast"/>
        <w:rPr>
          <w:b w:val="0"/>
          <w:bCs w:val="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</w:rPr>
        <w:t xml:space="preserve">В перио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highlight w:val="none"/>
        </w:rPr>
        <w:t xml:space="preserve">д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highlight w:val="none"/>
        </w:rPr>
        <w:t xml:space="preserve">с 1 января по 31 декабря 2023 года через Платформу обратной связи в Республике Дагестан было отправлено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highlight w:val="none"/>
        </w:rPr>
        <w:t xml:space="preserve">1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highlight w:val="none"/>
        </w:rPr>
        <w:t xml:space="preserve">5 241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</w:rPr>
        <w:t xml:space="preserve">  сообщение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</w:rPr>
        <w:t xml:space="preserve">.</w:t>
      </w:r>
      <w:r>
        <w:rPr>
          <w:b w:val="0"/>
          <w:bCs w:val="0"/>
        </w:rPr>
      </w:r>
      <w:r>
        <w:rPr>
          <w:b w:val="0"/>
          <w:bCs w:val="0"/>
        </w:rPr>
      </w:r>
    </w:p>
    <w:p>
      <w:pPr>
        <w:ind w:left="0" w:right="0" w:firstLine="709"/>
        <w:jc w:val="both"/>
        <w:spacing w:after="0" w:line="253" w:lineRule="atLeast"/>
        <w:tabs>
          <w:tab w:val="left" w:pos="567" w:leader="none"/>
          <w:tab w:val="left" w:pos="993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Р3</w:t>
      </w: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.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В 2023 году Минцифры РД проведены мероприятия, направленные на популяризацию получения государственных и муниципальных услуг в электронном формате и освещению преимуществ получения электронных услуг в  электронных СМИ, в социальных сетях.</w:t>
      </w:r>
      <w:r>
        <w:rPr>
          <w:rFonts w:ascii="Arial" w:hAnsi="Arial" w:eastAsia="Arial" w:cs="Arial"/>
          <w:color w:val="000000"/>
          <w:sz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Разработаны методические рекомендации по популяризации возможности получения массовых социально значимых услуг в электронной форме на Едином портале государственных и муниципальных услуг (функций) и доведены до всех ОИВ и ОМСУ РД, оказывающих массовые соци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ально значимые услуги. </w:t>
      </w:r>
      <w:r/>
    </w:p>
    <w:p>
      <w:pPr>
        <w:ind w:left="0" w:right="0" w:firstLine="709"/>
        <w:jc w:val="both"/>
        <w:spacing w:after="0" w:line="253" w:lineRule="atLeast"/>
        <w:tabs>
          <w:tab w:val="left" w:pos="567" w:leader="none"/>
          <w:tab w:val="left" w:pos="993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Также органами исполнительной власти Республики Дагестан и органами местного самоуправления Республики Дагестан утверждены ведомственные Планы мероприятий по популяризации получения государственных и муниципальных услуг в электронной форме на ЕПГУ. </w:t>
      </w:r>
      <w:r/>
    </w:p>
    <w:p>
      <w:pPr>
        <w:ind w:left="0" w:right="0" w:firstLine="709"/>
        <w:jc w:val="both"/>
        <w:spacing w:after="0" w:line="253" w:lineRule="atLeast"/>
        <w:tabs>
          <w:tab w:val="left" w:pos="567" w:leader="none"/>
          <w:tab w:val="left" w:pos="993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Совместно с Минобрнауки РД создана межведомственная рабочая группа по координации механизма получения государственных и муниципальных услуг в электронной форме и информирования граждан о преимуществах получения государственных и муниципальных услуг сферы о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бразования.</w:t>
      </w:r>
      <w:r/>
    </w:p>
    <w:p>
      <w:pPr>
        <w:ind w:left="0" w:right="0" w:firstLine="709"/>
        <w:jc w:val="both"/>
        <w:spacing w:after="0" w:line="253" w:lineRule="atLeast"/>
        <w:tabs>
          <w:tab w:val="left" w:pos="567" w:leader="none"/>
          <w:tab w:val="left" w:pos="993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</w:r>
      <w:r/>
    </w:p>
    <w:p>
      <w:pPr>
        <w:ind w:left="1291" w:right="0" w:hanging="1291"/>
        <w:jc w:val="both"/>
        <w:spacing w:before="0" w:after="0" w:line="25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           ·</w:t>
      </w:r>
      <w:r>
        <w:rPr>
          <w:rFonts w:ascii="Times New Roman" w:hAnsi="Times New Roman" w:eastAsia="Times New Roman" w:cs="Times New Roman"/>
          <w:color w:val="000000"/>
          <w:sz w:val="14"/>
        </w:rPr>
        <w:t xml:space="preserve">        </w:t>
      </w:r>
      <w:r>
        <w:rPr>
          <w:rFonts w:ascii="Times New Roman" w:hAnsi="Times New Roman" w:eastAsia="Times New Roman" w:cs="Times New Roman"/>
          <w:b/>
          <w:i/>
          <w:color w:val="000000"/>
          <w:sz w:val="24"/>
        </w:rPr>
        <w:t xml:space="preserve">заключение контрактов</w:t>
      </w:r>
      <w:r/>
    </w:p>
    <w:p>
      <w:pPr>
        <w:ind w:left="0" w:right="0" w:firstLine="434"/>
        <w:jc w:val="both"/>
        <w:spacing w:after="0" w:line="25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         -</w:t>
      </w:r>
      <w:r/>
    </w:p>
    <w:p>
      <w:pPr>
        <w:ind w:left="1291" w:right="0" w:hanging="1291"/>
        <w:jc w:val="both"/>
        <w:spacing w:before="0" w:after="0" w:line="25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           ·</w:t>
      </w:r>
      <w:r>
        <w:rPr>
          <w:rFonts w:ascii="Times New Roman" w:hAnsi="Times New Roman" w:eastAsia="Times New Roman" w:cs="Times New Roman"/>
          <w:color w:val="000000"/>
          <w:sz w:val="14"/>
        </w:rPr>
        <w:t xml:space="preserve">        </w:t>
      </w:r>
      <w:r>
        <w:rPr>
          <w:rFonts w:ascii="Times New Roman" w:hAnsi="Times New Roman" w:eastAsia="Times New Roman" w:cs="Times New Roman"/>
          <w:b/>
          <w:i/>
          <w:color w:val="000000"/>
          <w:sz w:val="24"/>
        </w:rPr>
        <w:t xml:space="preserve">имеющиеся проблемы и сроки их решения</w:t>
      </w:r>
      <w:r/>
    </w:p>
    <w:p>
      <w:pPr>
        <w:ind w:left="0" w:right="0" w:firstLine="434"/>
        <w:jc w:val="both"/>
        <w:spacing w:after="0" w:line="25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         -</w:t>
      </w:r>
      <w:r/>
    </w:p>
    <w:p>
      <w:pPr>
        <w:ind w:left="1291" w:right="0" w:hanging="1291"/>
        <w:jc w:val="both"/>
        <w:spacing w:before="0" w:after="0" w:line="25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           ·</w:t>
      </w:r>
      <w:r>
        <w:rPr>
          <w:rFonts w:ascii="Times New Roman" w:hAnsi="Times New Roman" w:eastAsia="Times New Roman" w:cs="Times New Roman"/>
          <w:color w:val="000000"/>
          <w:sz w:val="14"/>
        </w:rPr>
        <w:t xml:space="preserve">        </w:t>
      </w:r>
      <w:r>
        <w:rPr>
          <w:rFonts w:ascii="Times New Roman" w:hAnsi="Times New Roman" w:eastAsia="Times New Roman" w:cs="Times New Roman"/>
          <w:b/>
          <w:i/>
          <w:color w:val="000000"/>
          <w:sz w:val="24"/>
        </w:rPr>
        <w:t xml:space="preserve">оставшиеся мероприятия</w:t>
      </w:r>
      <w:r/>
    </w:p>
    <w:p>
      <w:pPr>
        <w:ind w:left="0" w:right="0" w:firstLine="434"/>
        <w:jc w:val="both"/>
        <w:spacing w:after="0" w:line="25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         -</w:t>
      </w:r>
      <w:r/>
    </w:p>
    <w:p>
      <w:pPr>
        <w:ind w:left="1291" w:right="0" w:hanging="1291"/>
        <w:jc w:val="both"/>
        <w:spacing w:before="0" w:after="0" w:line="25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           ·</w:t>
      </w:r>
      <w:r>
        <w:rPr>
          <w:rFonts w:ascii="Times New Roman" w:hAnsi="Times New Roman" w:eastAsia="Times New Roman" w:cs="Times New Roman"/>
          <w:color w:val="000000"/>
          <w:sz w:val="14"/>
        </w:rPr>
        <w:t xml:space="preserve">        </w:t>
      </w:r>
      <w:r>
        <w:rPr>
          <w:rFonts w:ascii="Times New Roman" w:hAnsi="Times New Roman" w:eastAsia="Times New Roman" w:cs="Times New Roman"/>
          <w:b/>
          <w:i/>
          <w:color w:val="000000"/>
          <w:sz w:val="24"/>
        </w:rPr>
        <w:t xml:space="preserve">участие МО в реализации проекта</w:t>
      </w:r>
      <w:r/>
    </w:p>
    <w:p>
      <w:pPr>
        <w:ind w:left="1291" w:right="0" w:hanging="1291"/>
        <w:jc w:val="both"/>
        <w:spacing w:before="0" w:after="0" w:line="25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8"/>
        </w:rPr>
        <w:t xml:space="preserve">              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Все МО Республики Дагестан</w:t>
      </w:r>
      <w:r/>
    </w:p>
    <w:p>
      <w:pPr>
        <w:ind w:left="0" w:right="0" w:firstLine="0"/>
        <w:spacing w:after="0" w:line="25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 </w:t>
      </w:r>
      <w:r/>
    </w:p>
    <w:p>
      <w:pPr>
        <w:ind w:left="0" w:right="0" w:firstLine="0"/>
        <w:jc w:val="center"/>
        <w:spacing w:after="0" w:line="25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III. Региональный проект</w:t>
      </w:r>
      <w:r/>
    </w:p>
    <w:p>
      <w:pPr>
        <w:ind w:left="0" w:right="0" w:firstLine="0"/>
        <w:jc w:val="center"/>
        <w:spacing w:after="0" w:line="25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 «Информационная безопасность»</w:t>
      </w:r>
      <w:r/>
    </w:p>
    <w:p>
      <w:pPr>
        <w:ind w:left="0" w:right="0" w:firstLine="709"/>
        <w:jc w:val="both"/>
        <w:spacing w:after="0" w:line="25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i/>
          <w:color w:val="000000"/>
          <w:sz w:val="24"/>
        </w:rPr>
        <w:t xml:space="preserve"> </w:t>
      </w:r>
      <w:r>
        <w:rPr>
          <w:rFonts w:ascii="Arial" w:hAnsi="Arial" w:eastAsia="Arial" w:cs="Arial"/>
          <w:color w:val="000000"/>
          <w:sz w:val="24"/>
        </w:rPr>
        <w:t xml:space="preserve">·</w:t>
      </w:r>
      <w:r>
        <w:rPr>
          <w:rFonts w:ascii="Times New Roman" w:hAnsi="Times New Roman" w:eastAsia="Times New Roman" w:cs="Times New Roman"/>
          <w:color w:val="000000"/>
          <w:sz w:val="14"/>
        </w:rPr>
        <w:t xml:space="preserve">        </w:t>
      </w:r>
      <w:r>
        <w:rPr>
          <w:rFonts w:ascii="Times New Roman" w:hAnsi="Times New Roman" w:eastAsia="Times New Roman" w:cs="Times New Roman"/>
          <w:b/>
          <w:i/>
          <w:color w:val="000000"/>
          <w:sz w:val="24"/>
        </w:rPr>
        <w:t xml:space="preserve">функциональные заказчики:</w:t>
      </w:r>
      <w:r/>
    </w:p>
    <w:p>
      <w:pPr>
        <w:ind w:left="0" w:right="0" w:firstLine="700"/>
        <w:jc w:val="both"/>
        <w:spacing w:after="0" w:line="25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Министерство цифрового развития Республики Дагестан</w:t>
      </w:r>
      <w:r/>
    </w:p>
    <w:p>
      <w:pPr>
        <w:ind w:left="1291" w:right="0" w:hanging="1291"/>
        <w:jc w:val="both"/>
        <w:spacing w:before="0" w:after="0" w:line="25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            ·</w:t>
      </w:r>
      <w:r>
        <w:rPr>
          <w:rFonts w:ascii="Times New Roman" w:hAnsi="Times New Roman" w:eastAsia="Times New Roman" w:cs="Times New Roman"/>
          <w:color w:val="000000"/>
          <w:sz w:val="14"/>
        </w:rPr>
        <w:t xml:space="preserve">        </w:t>
      </w:r>
      <w:r>
        <w:rPr>
          <w:rFonts w:ascii="Times New Roman" w:hAnsi="Times New Roman" w:eastAsia="Times New Roman" w:cs="Times New Roman"/>
          <w:b/>
          <w:i/>
          <w:color w:val="000000"/>
          <w:sz w:val="24"/>
        </w:rPr>
        <w:t xml:space="preserve">планируемые к достижению результаты</w:t>
      </w:r>
      <w:r/>
    </w:p>
    <w:p>
      <w:pPr>
        <w:ind w:left="0" w:right="0" w:firstLine="709"/>
        <w:jc w:val="both"/>
        <w:spacing w:after="0" w:line="25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i/>
          <w:color w:val="000000"/>
          <w:sz w:val="24"/>
        </w:rPr>
        <w:t xml:space="preserve">Р1</w:t>
      </w:r>
      <w:r>
        <w:rPr>
          <w:rFonts w:ascii="Times New Roman" w:hAnsi="Times New Roman" w:eastAsia="Times New Roman" w:cs="Times New Roman"/>
          <w:i/>
          <w:color w:val="000000"/>
          <w:sz w:val="24"/>
        </w:rPr>
        <w:t xml:space="preserve">. Содействие использованию преимущественно отечественного программного обеспечения органами государственной власти Российской Федерации, органами местного самоуправления и организациями, находящимися в собственности субъекта Российской Федерации и муниципа</w:t>
      </w:r>
      <w:r>
        <w:rPr>
          <w:rFonts w:ascii="Times New Roman" w:hAnsi="Times New Roman" w:eastAsia="Times New Roman" w:cs="Times New Roman"/>
          <w:i/>
          <w:color w:val="000000"/>
          <w:sz w:val="24"/>
        </w:rPr>
        <w:t xml:space="preserve">льной собственности.</w:t>
      </w:r>
      <w:r/>
    </w:p>
    <w:p>
      <w:pPr>
        <w:ind w:left="0" w:right="0" w:firstLine="709"/>
        <w:jc w:val="both"/>
        <w:spacing w:after="0" w:line="25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Получение лицензий на российское программное обеспечение для общеобразовательных учреждений Республики Дагестан. Координация работы по переходу органов государственной власти Республики Дагестан на импортозамещение программного обеспечения.</w:t>
      </w:r>
      <w:r/>
    </w:p>
    <w:p>
      <w:pPr>
        <w:ind w:left="0" w:right="0" w:firstLine="709"/>
        <w:jc w:val="both"/>
        <w:spacing w:after="0" w:line="25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i/>
          <w:color w:val="000000"/>
          <w:sz w:val="24"/>
        </w:rPr>
        <w:t xml:space="preserve">Р2.</w:t>
      </w:r>
      <w:r>
        <w:rPr>
          <w:rFonts w:ascii="Times New Roman" w:hAnsi="Times New Roman" w:eastAsia="Times New Roman" w:cs="Times New Roman"/>
          <w:i/>
          <w:color w:val="000000"/>
          <w:sz w:val="24"/>
        </w:rPr>
        <w:t xml:space="preserve">Повышение уровня информационной безопасности республиканских объектов критической информационной инфраструктуры.</w:t>
      </w:r>
      <w:r/>
    </w:p>
    <w:p>
      <w:pPr>
        <w:ind w:left="0" w:right="0" w:firstLine="709"/>
        <w:jc w:val="both"/>
        <w:spacing w:after="0" w:line="25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В рамках мероприятия ежеквартально проводится работа по актуализации сведении о проведенной работе организациями и предприятиями Республики Дагестан по исполнению требований Федерального закона от 26.07.2017 г. № 187-ФЗ «О безопасности критической информац</w:t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ионной инфраструктуры Российской Федерации». Также, планируется проведение в 2023 году двух заседаний Правительственной комиссии Республики Дагестан по защите информации, на которых будут рассматриваться вопросы обеспечения безопасности объектов критическо</w:t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й информационной инфраструктуры Республики Дагестан.</w:t>
      </w:r>
      <w:r/>
    </w:p>
    <w:p>
      <w:pPr>
        <w:ind w:left="0" w:right="0" w:firstLine="709"/>
        <w:jc w:val="both"/>
        <w:spacing w:after="0" w:line="25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i/>
          <w:color w:val="000000"/>
          <w:sz w:val="24"/>
        </w:rPr>
        <w:t xml:space="preserve">Р3.</w:t>
      </w:r>
      <w:r>
        <w:rPr>
          <w:rFonts w:ascii="Times New Roman" w:hAnsi="Times New Roman" w:eastAsia="Times New Roman" w:cs="Times New Roman"/>
          <w:i/>
          <w:color w:val="000000"/>
          <w:sz w:val="24"/>
        </w:rPr>
        <w:t xml:space="preserve">Обеспечение безвозмездного доступа гражданам Российской Федерации к использованию российских средств шифрования для электронного взаимодействия с органами власти Республики Дагестан.</w:t>
      </w:r>
      <w:r/>
    </w:p>
    <w:p>
      <w:pPr>
        <w:ind w:left="0" w:right="0" w:firstLine="709"/>
        <w:jc w:val="both"/>
        <w:spacing w:after="0" w:line="25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Проработка решений, обеспечивающих возможность использования российских криптографических алгоритмов и средств шифрования при электронном взаимодействии органов исполнительной власти Республики Дагестан.</w:t>
      </w:r>
      <w:r/>
    </w:p>
    <w:p>
      <w:pPr>
        <w:ind w:left="0" w:right="0" w:firstLine="709"/>
        <w:jc w:val="both"/>
        <w:spacing w:after="0" w:line="25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i/>
          <w:color w:val="000000"/>
          <w:sz w:val="24"/>
        </w:rPr>
        <w:t xml:space="preserve">Р4. </w:t>
      </w:r>
      <w:r>
        <w:rPr>
          <w:rFonts w:ascii="Times New Roman" w:hAnsi="Times New Roman" w:eastAsia="Times New Roman" w:cs="Times New Roman"/>
          <w:i/>
          <w:color w:val="000000"/>
          <w:sz w:val="24"/>
        </w:rPr>
        <w:t xml:space="preserve">Получение органами власти Республики Дагестан сертификатов безопасности национального удостоверяющего центра.</w:t>
      </w:r>
      <w:r/>
    </w:p>
    <w:p>
      <w:pPr>
        <w:ind w:left="0" w:right="0" w:firstLine="709"/>
        <w:jc w:val="both"/>
        <w:spacing w:after="0" w:line="25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Координация работы и содействие в получении органами власти Республики Дагестан сертификатов безопасности Национального удостоверяющего центра.</w:t>
      </w:r>
      <w:r/>
    </w:p>
    <w:p>
      <w:pPr>
        <w:ind w:left="0" w:right="0" w:firstLine="709"/>
        <w:jc w:val="both"/>
        <w:spacing w:after="0" w:line="25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10"/>
        </w:rPr>
        <w:t xml:space="preserve"> </w:t>
      </w:r>
      <w:r>
        <w:rPr>
          <w:rFonts w:ascii="Arial" w:hAnsi="Arial" w:eastAsia="Arial" w:cs="Arial"/>
          <w:color w:val="000000"/>
          <w:sz w:val="24"/>
        </w:rPr>
        <w:t xml:space="preserve">·</w:t>
      </w:r>
      <w:r>
        <w:rPr>
          <w:rFonts w:ascii="Times New Roman" w:hAnsi="Times New Roman" w:eastAsia="Times New Roman" w:cs="Times New Roman"/>
          <w:color w:val="000000"/>
          <w:sz w:val="14"/>
        </w:rPr>
        <w:t xml:space="preserve">        </w:t>
      </w:r>
      <w:r>
        <w:rPr>
          <w:rFonts w:ascii="Times New Roman" w:hAnsi="Times New Roman" w:eastAsia="Times New Roman" w:cs="Times New Roman"/>
          <w:b/>
          <w:i/>
          <w:color w:val="000000"/>
          <w:sz w:val="24"/>
        </w:rPr>
        <w:t xml:space="preserve">заключение соглашений</w:t>
      </w:r>
      <w:r/>
    </w:p>
    <w:p>
      <w:pPr>
        <w:ind w:left="0" w:right="0" w:firstLine="700"/>
        <w:jc w:val="both"/>
        <w:spacing w:after="0" w:line="25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В системе «Электронный бюджет» заключено индикативное соглашение от 18 июля 2019 г. № 071-2019-D4001-7, дополнительное соглашение от 11 сентября 2019 г. № 071-2019-D4001-7/1, от 22.12.2020 г. № 071-2019-D4001-7/1.1, от 08.12.2020 г. № 071-2019-D4001-7/2, о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т 10.12.2021 № 071-2019-D4001-7/3, от 28.11.2022 г. № 071-2019-D4001-7/4  о реализации регионального проекта «Информационная безопасность (Республика Дагестан)» на территории Республики Дагестан.</w:t>
      </w:r>
      <w:r/>
    </w:p>
    <w:p>
      <w:pPr>
        <w:ind w:left="0" w:right="0" w:firstLine="700"/>
        <w:jc w:val="both"/>
        <w:spacing w:after="0" w:line="25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10"/>
        </w:rPr>
        <w:t xml:space="preserve"> </w:t>
      </w:r>
      <w:r/>
    </w:p>
    <w:p>
      <w:pPr>
        <w:ind w:left="0" w:right="0" w:firstLine="0"/>
        <w:jc w:val="both"/>
        <w:spacing w:before="0" w:after="0" w:line="25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           ·</w:t>
      </w:r>
      <w:r>
        <w:rPr>
          <w:rFonts w:ascii="Times New Roman" w:hAnsi="Times New Roman" w:eastAsia="Times New Roman" w:cs="Times New Roman"/>
          <w:color w:val="000000"/>
          <w:sz w:val="14"/>
        </w:rPr>
        <w:t xml:space="preserve">        </w:t>
      </w:r>
      <w:r>
        <w:rPr>
          <w:rFonts w:ascii="Times New Roman" w:hAnsi="Times New Roman" w:eastAsia="Times New Roman" w:cs="Times New Roman"/>
          <w:b/>
          <w:i/>
          <w:color w:val="000000"/>
          <w:sz w:val="24"/>
        </w:rPr>
        <w:t xml:space="preserve">бюджет регионального проекта</w:t>
      </w:r>
      <w:r/>
    </w:p>
    <w:p>
      <w:pPr>
        <w:ind w:left="0" w:right="0" w:firstLine="700"/>
        <w:jc w:val="both"/>
        <w:spacing w:after="0" w:line="25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Всего – 0 млн руб., в том числе:</w:t>
      </w:r>
      <w:r/>
    </w:p>
    <w:p>
      <w:pPr>
        <w:ind w:left="0" w:right="0" w:firstLine="700"/>
        <w:jc w:val="both"/>
        <w:spacing w:after="0" w:line="25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0 млн руб. – средства федерального бюджета;</w:t>
      </w:r>
      <w:r/>
    </w:p>
    <w:p>
      <w:pPr>
        <w:ind w:left="0" w:right="0" w:firstLine="700"/>
        <w:jc w:val="both"/>
        <w:spacing w:after="0" w:line="25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0 млн руб. – средства республиканского бюджета.</w:t>
      </w:r>
      <w:r/>
    </w:p>
    <w:p>
      <w:pPr>
        <w:ind w:left="0" w:right="0" w:firstLine="700"/>
        <w:jc w:val="both"/>
        <w:spacing w:after="0" w:line="25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i/>
          <w:color w:val="000000"/>
          <w:sz w:val="28"/>
        </w:rPr>
        <w:t xml:space="preserve">Кассовое исполнение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– 0 %.</w:t>
      </w:r>
      <w:r/>
    </w:p>
    <w:p>
      <w:pPr>
        <w:ind w:left="0" w:right="0" w:firstLine="700"/>
        <w:jc w:val="both"/>
        <w:spacing w:after="0" w:line="25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 </w:t>
      </w:r>
      <w:r>
        <w:rPr>
          <w:rFonts w:ascii="Arial" w:hAnsi="Arial" w:eastAsia="Arial" w:cs="Arial"/>
          <w:color w:val="000000"/>
          <w:sz w:val="24"/>
        </w:rPr>
        <w:t xml:space="preserve">·</w:t>
      </w:r>
      <w:r>
        <w:rPr>
          <w:rFonts w:ascii="Times New Roman" w:hAnsi="Times New Roman" w:eastAsia="Times New Roman" w:cs="Times New Roman"/>
          <w:color w:val="000000"/>
          <w:sz w:val="14"/>
        </w:rPr>
        <w:t xml:space="preserve">        </w:t>
      </w:r>
      <w:r>
        <w:rPr>
          <w:rFonts w:ascii="Times New Roman" w:hAnsi="Times New Roman" w:eastAsia="Times New Roman" w:cs="Times New Roman"/>
          <w:b/>
          <w:i/>
          <w:color w:val="000000"/>
          <w:sz w:val="24"/>
        </w:rPr>
        <w:t xml:space="preserve">проводимая работа, достигнутые результаты</w:t>
      </w:r>
      <w:r/>
    </w:p>
    <w:p>
      <w:pPr>
        <w:ind w:left="0" w:right="0" w:firstLine="709"/>
        <w:jc w:val="both"/>
        <w:spacing w:after="0" w:line="25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i/>
          <w:color w:val="000000"/>
          <w:sz w:val="28"/>
        </w:rPr>
        <w:t xml:space="preserve"> </w:t>
      </w:r>
      <w:r>
        <w:rPr>
          <w:rFonts w:ascii="Times New Roman" w:hAnsi="Times New Roman" w:eastAsia="Times New Roman" w:cs="Times New Roman"/>
          <w:b/>
          <w:i/>
          <w:color w:val="000000"/>
          <w:sz w:val="24"/>
          <w:szCs w:val="24"/>
        </w:rPr>
        <w:t xml:space="preserve">Р1</w:t>
      </w:r>
      <w:r>
        <w:rPr>
          <w:rFonts w:ascii="Times New Roman" w:hAnsi="Times New Roman" w:eastAsia="Times New Roman" w:cs="Times New Roman"/>
          <w:i/>
          <w:color w:val="000000"/>
          <w:sz w:val="28"/>
        </w:rPr>
        <w:t xml:space="preserve">. </w:t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  <w:u w:val="none"/>
        </w:rPr>
        <w:t xml:space="preserve">Минцифры РД получены 10987 лицензий на российскую операционную систему для общеобразовательных учреждений муниципальных районов и городских округов Республики Дагестан. Полученные лицензии доведены до отв</w:t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  <w:u w:val="none"/>
        </w:rPr>
        <w:t xml:space="preserve">етственных специалистов администраций городских округов.</w:t>
      </w:r>
      <w:r>
        <w:rPr>
          <w:rFonts w:ascii="Times New Roman" w:hAnsi="Times New Roman" w:eastAsia="Times New Roman" w:cs="Times New Roman"/>
          <w:color w:val="000000"/>
          <w:sz w:val="28"/>
        </w:rPr>
      </w:r>
      <w:r/>
    </w:p>
    <w:p>
      <w:pPr>
        <w:ind w:left="0" w:right="0" w:firstLine="709"/>
        <w:jc w:val="both"/>
        <w:spacing w:after="0" w:line="25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Проведен анализ закупленного в 2023 году органами исполнительной власти и органами местного самоуправления Республики Дагестан программного обеспечения для расчета показателя «Доля расходов на закупки и/или аренду отечественного программного о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беспечения и платформ от общих расходов на закупку или аренду программного обеспечения». Значение показателя в 2023 году составило 99,9%. </w:t>
      </w:r>
      <w:r/>
    </w:p>
    <w:p>
      <w:pPr>
        <w:ind w:left="0" w:right="0" w:firstLine="709"/>
        <w:jc w:val="both"/>
        <w:spacing w:after="0" w:line="25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В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о исполнение пункта 3 Перечня поручений заместителя Председателя Правительства Российской Федерации Д.Н. Чернышенко № ДЧ-П10-16761 от 05.10.2022  проведена работа по переводу государственных служащих Республики Дагестан на единую систему коммуникаций на ба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зе типового «Автоматизированного рабочего места для госслужащих» (далее – КС «АРМ ГС»). Все органы исполнительной власти Республики Дагестан получили доступ к КС «АРМ ГС».</w:t>
      </w:r>
      <w:r/>
    </w:p>
    <w:p>
      <w:pPr>
        <w:ind w:left="0" w:right="0" w:firstLine="709"/>
        <w:jc w:val="both"/>
        <w:spacing w:after="0" w:line="25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i/>
          <w:color w:val="000000"/>
          <w:sz w:val="24"/>
          <w:szCs w:val="24"/>
        </w:rPr>
        <w:t xml:space="preserve">Р2</w:t>
      </w:r>
      <w:r>
        <w:rPr>
          <w:rFonts w:ascii="Times New Roman" w:hAnsi="Times New Roman" w:eastAsia="Times New Roman" w:cs="Times New Roman"/>
          <w:b/>
          <w:i/>
          <w:color w:val="000000"/>
          <w:sz w:val="28"/>
        </w:rPr>
        <w:t xml:space="preserve">.</w:t>
      </w:r>
      <w:r>
        <w:rPr>
          <w:rFonts w:ascii="Times New Roman" w:hAnsi="Times New Roman" w:eastAsia="Times New Roman" w:cs="Times New Roman"/>
          <w:i/>
          <w:color w:val="000000"/>
          <w:sz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Проведен анализ исполнения органами исполнительной власти, организациями и предприятиями Республики Дагестан требования Федерального закона от 27.07.2017 г. № 187-ФЗ «О безопасности критической информационной инфраструктуры Российской Федерации» за </w:t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2023 год.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В ходе анализа выявлены дополнительные субъекты КИИ.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 Работа в данном направлении продолжается.</w:t>
      </w:r>
      <w:r/>
    </w:p>
    <w:p>
      <w:pPr>
        <w:ind w:left="0" w:right="0" w:firstLine="709"/>
        <w:jc w:val="both"/>
        <w:spacing w:after="0" w:line="25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20 июня 2023 года и 30 ноября 2023 года проведены заседания П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равительственной комиссии Республики Дагестан по защите информации, в рамках которого рассматривались вопросы обеспечения безопасности объектов КИИ. По итогам заседания подготовлены протоколы с поручениями органам исполнительной власти Республики Дагестан.</w:t>
      </w:r>
      <w:r/>
    </w:p>
    <w:p>
      <w:pPr>
        <w:ind w:left="0" w:right="0" w:firstLine="709"/>
        <w:jc w:val="both"/>
        <w:spacing w:after="0" w:line="253" w:lineRule="atLeast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25 - 29 сентября 2023 года проведена совместная с Управлением ФСТЭК России по Южному и Северо-Кавказскому федеральным округам тренировка по отработке действий, выполняемых при установлении уровня опасности проведения целевых компьютерных атак на объекты кр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итической информационной инфраструктуры, в ходе которой Минцифры РД, Минздрав РД, Минтранс РД и Минобрнауки РД проведены мероприятия по обеспечению безопасности своих объектов КИИ и государственных информационных систем.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left="0" w:right="0" w:firstLine="567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 рамках Федерального закона от 26 июля 2017 года № 187-ФЗ «О безопасности критической информационной инфраструктуры Российской Федерации» (далее – 187-ФЗ)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Минцифрой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РД на регулярной основе проводится анализ реализации субъектами критической информационной инфраст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руктуры (далее – КИИ) Республики Дагестан мероприятий по категорированию своих объектов КИИ, оказывается методическая и консультативная помощь. Кроме того, субъектам КИИ направлено более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180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письменных обращений о необходимости категорирования объектов КИИ.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 ходе проводимого анализа в Республике Дагестан на сегодняшний день выявлено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263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субъектов КИИ. При этом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 19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9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субъектах КИИ созданы комиссии по категорированию. По результатам отработки комиссий по категорировани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я 106 о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бъектам КИИ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присвоена значимая категория и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1258 об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ъектам КИИ – незначимая категория, из которых: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contextualSpacing/>
        <w:ind w:left="0" w:right="0" w:firstLine="567"/>
        <w:jc w:val="both"/>
        <w:rPr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в сфере здравоохранения: субъектов КИИ – 168, объектов КИИ – 1228;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contextualSpacing/>
        <w:ind w:left="0" w:right="0" w:firstLine="567"/>
        <w:jc w:val="both"/>
        <w:rPr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в сфере связи: субъектов КИИ – 23, объектов КИИ – 16;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contextualSpacing/>
        <w:ind w:left="0" w:right="0" w:firstLine="567"/>
        <w:rPr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в сфере транспорта: субъектов КИИ – 15, объектов КИИ – 12;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contextualSpacing/>
        <w:ind w:left="0" w:right="0" w:firstLine="567"/>
        <w:jc w:val="both"/>
        <w:rPr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в сфере энергетики: субъектов КИИ – 13, объектов КИИ – 37;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contextualSpacing/>
        <w:ind w:left="0" w:right="0" w:firstLine="567"/>
        <w:jc w:val="both"/>
        <w:rPr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в сфере топливно-энергетического: субъектов КИИ – 12, объектов КИИ – 2;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contextualSpacing/>
        <w:ind w:left="0" w:right="0" w:firstLine="567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в сфере оборонно-промышленного: субъектов КИИ – 13, объектов КИИ – 40;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contextualSpacing/>
        <w:ind w:left="0" w:right="0" w:firstLine="567"/>
        <w:jc w:val="both"/>
        <w:rPr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в сфере горнодобывающая промышленность: субъектов КИИ – 1, объектов КИИ – 5; 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contextualSpacing/>
        <w:ind w:left="0" w:right="0" w:firstLine="567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в сфере науки: субъектов КИИ – 9, объектов КИИ – 8;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contextualSpacing/>
        <w:ind w:left="0" w:right="0" w:firstLine="567"/>
        <w:jc w:val="both"/>
        <w:rPr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в сфере химической промышленности: субъектов КИИ – 3, объекты КИИ не выявлены;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contextualSpacing/>
        <w:ind w:left="0" w:right="0" w:firstLine="567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в банковской сфере: субъектов КИИ – 5, объектов КИИ – 16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val="en-US"/>
        </w:rPr>
        <w:t xml:space="preserve">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contextualSpacing/>
        <w:ind w:left="0" w:right="0" w:firstLine="567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в сфере государственной регистрации прав на недвижимое имущество субъектов КИИ – 1, объекты КИИ не выявлены.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ind w:left="0" w:right="0" w:firstLine="567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i/>
          <w:color w:val="000000"/>
          <w:sz w:val="24"/>
          <w:szCs w:val="24"/>
          <w:highlight w:val="white"/>
        </w:rPr>
        <w:t xml:space="preserve">Р3</w:t>
      </w:r>
      <w:r>
        <w:rPr>
          <w:rFonts w:ascii="Times New Roman" w:hAnsi="Times New Roman" w:eastAsia="Times New Roman" w:cs="Times New Roman"/>
          <w:b/>
          <w:i/>
          <w:color w:val="000000"/>
          <w:sz w:val="28"/>
          <w:highlight w:val="white"/>
        </w:rPr>
        <w:t xml:space="preserve">.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М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етодические рекомендации по переходу на использование российских криптографических алгоритмов средств шифрования для взаимодействии между собой, с гражданами и организациями доведены до органов исполнительной власти и органов местного самоуправления Респуб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л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ики Дагестан. Проведен анализ использования российских криптографических алгоритмов и средств шифрования на веб-серверах органов власти Республики Дагестан, однако сертификаты безопасности Национального удостоверяющего центра установить не удалось. Согласн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о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полученной информации, на сегодняшний день для использования ГОСТовых сертификатов безопасности необходимо использование специального программного обеспечения, либо веб-серверов отечественной разработки, которые в органах власти Республики Дагестан не уст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ан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овлены. В этой связи органам власти Республики Дагестан рекомендовано использование сертификатов безопасности, полученных посредством единого портала государственных и муниципальных услуг. 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709"/>
        <w:jc w:val="both"/>
        <w:spacing w:after="0" w:line="25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i/>
          <w:color w:val="000000"/>
          <w:sz w:val="24"/>
          <w:szCs w:val="24"/>
        </w:rPr>
        <w:t xml:space="preserve">Р4</w:t>
      </w:r>
      <w:r>
        <w:rPr>
          <w:rFonts w:ascii="Times New Roman" w:hAnsi="Times New Roman" w:eastAsia="Times New Roman" w:cs="Times New Roman"/>
          <w:b/>
          <w:i/>
          <w:color w:val="000000"/>
          <w:sz w:val="28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 П</w:t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роведен анализ возможности использования сертификатов безопасности Национального удостоверяющего центра на информационных ресурсах Республики Дагестан. Ведется проработка решений, обеспечивающих возможность использования российских криптографических алгори</w:t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тмов и средств шифрования при электронном взаимодействии органов государственной власти.</w:t>
      </w:r>
      <w:r/>
    </w:p>
    <w:p>
      <w:pPr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В 2023 году российские сертификаты безопасности национального удостоверяющего центра получили: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46"/>
        <w:numPr>
          <w:ilvl w:val="0"/>
          <w:numId w:val="26"/>
        </w:numPr>
        <w:ind w:left="0" w:right="0" w:firstLine="567"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Министерство национально</w:t>
      </w:r>
      <w:r>
        <w:rPr>
          <w:rFonts w:ascii="Times New Roman" w:hAnsi="Times New Roman" w:cs="Times New Roman"/>
          <w:sz w:val="28"/>
          <w:szCs w:val="28"/>
        </w:rPr>
        <w:t xml:space="preserve">й</w:t>
      </w:r>
      <w:r>
        <w:rPr>
          <w:rFonts w:ascii="Times New Roman" w:hAnsi="Times New Roman" w:cs="Times New Roman"/>
          <w:sz w:val="28"/>
          <w:szCs w:val="28"/>
        </w:rPr>
        <w:t xml:space="preserve"> политики и делам религий РД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46"/>
        <w:numPr>
          <w:ilvl w:val="0"/>
          <w:numId w:val="26"/>
        </w:numPr>
        <w:ind w:left="0" w:right="0" w:firstLine="567"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Министерство транспорта </w:t>
      </w:r>
      <w:r>
        <w:rPr>
          <w:rFonts w:ascii="Times New Roman" w:hAnsi="Times New Roman" w:cs="Times New Roman"/>
          <w:sz w:val="28"/>
          <w:szCs w:val="28"/>
        </w:rPr>
        <w:t xml:space="preserve">и дорожного хозяйства</w:t>
      </w:r>
      <w:r>
        <w:rPr>
          <w:rFonts w:ascii="Times New Roman" w:hAnsi="Times New Roman" w:cs="Times New Roman"/>
          <w:sz w:val="28"/>
          <w:szCs w:val="28"/>
        </w:rPr>
        <w:t xml:space="preserve"> РД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46"/>
        <w:numPr>
          <w:ilvl w:val="0"/>
          <w:numId w:val="26"/>
        </w:numPr>
        <w:ind w:left="0" w:right="0" w:firstLine="567"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Министерство труда и социального развития РД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46"/>
        <w:numPr>
          <w:ilvl w:val="0"/>
          <w:numId w:val="26"/>
        </w:numPr>
        <w:ind w:left="0" w:right="0" w:firstLine="567"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Министерство по туризму и народным художественным промыслам РД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46"/>
        <w:numPr>
          <w:ilvl w:val="0"/>
          <w:numId w:val="26"/>
        </w:numPr>
        <w:ind w:left="0" w:right="0" w:firstLine="567"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Министерство промышленности и торговли РД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46"/>
        <w:numPr>
          <w:ilvl w:val="0"/>
          <w:numId w:val="26"/>
        </w:numPr>
        <w:ind w:left="0" w:right="0" w:firstLine="567"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 xml:space="preserve">город</w:t>
      </w:r>
      <w:r>
        <w:rPr>
          <w:rFonts w:ascii="Times New Roman" w:hAnsi="Times New Roman" w:cs="Times New Roman"/>
          <w:sz w:val="28"/>
          <w:szCs w:val="28"/>
        </w:rPr>
        <w:t xml:space="preserve">ского округа «город</w:t>
      </w:r>
      <w:r>
        <w:rPr>
          <w:rFonts w:ascii="Times New Roman" w:hAnsi="Times New Roman" w:cs="Times New Roman"/>
          <w:sz w:val="28"/>
          <w:szCs w:val="28"/>
        </w:rPr>
        <w:t xml:space="preserve"> Кизляр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46"/>
        <w:numPr>
          <w:ilvl w:val="0"/>
          <w:numId w:val="26"/>
        </w:numPr>
        <w:ind w:left="0" w:right="0" w:firstLine="567"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городского округа «город Избербаш»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46"/>
        <w:numPr>
          <w:ilvl w:val="0"/>
          <w:numId w:val="26"/>
        </w:numPr>
        <w:ind w:left="0" w:right="0" w:firstLine="567"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района «Магарамкентский район»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46"/>
        <w:numPr>
          <w:ilvl w:val="0"/>
          <w:numId w:val="26"/>
        </w:numPr>
        <w:ind w:left="0" w:right="0" w:firstLine="567"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района «Ахтынский район»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46"/>
        <w:numPr>
          <w:ilvl w:val="0"/>
          <w:numId w:val="27"/>
        </w:numPr>
        <w:ind w:left="0" w:right="0" w:firstLine="567"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района «Хивский район»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46"/>
        <w:numPr>
          <w:ilvl w:val="0"/>
          <w:numId w:val="28"/>
        </w:numPr>
        <w:ind w:left="0" w:right="0" w:firstLine="567"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района «Буйнакский район»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46"/>
        <w:numPr>
          <w:ilvl w:val="0"/>
          <w:numId w:val="28"/>
        </w:numPr>
        <w:ind w:left="0" w:right="0" w:firstLine="567"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Администрация муниципального района «Ногайский район»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46"/>
        <w:numPr>
          <w:ilvl w:val="0"/>
          <w:numId w:val="26"/>
        </w:numPr>
        <w:ind w:left="0" w:right="0" w:firstLine="567"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Редакция республиканской газеты «Замана»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567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Министерством цифрового развития Республики Дагестан получены р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оссийские сертификаты безопасности национального удостоверяющего центра</w:t>
      </w:r>
      <w:r>
        <w:rPr>
          <w:rFonts w:ascii="Times New Roman" w:hAnsi="Times New Roman" w:cs="Times New Roman"/>
          <w:sz w:val="28"/>
          <w:szCs w:val="28"/>
        </w:rPr>
        <w:t xml:space="preserve"> на республиканский домен e-dag.ru и на домен официального сайта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dagestan.digital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1291" w:right="0" w:hanging="1291"/>
        <w:jc w:val="both"/>
        <w:spacing w:before="0" w:after="0" w:line="25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          ·</w:t>
      </w:r>
      <w:r>
        <w:rPr>
          <w:rFonts w:ascii="Times New Roman" w:hAnsi="Times New Roman" w:eastAsia="Times New Roman" w:cs="Times New Roman"/>
          <w:color w:val="000000"/>
          <w:sz w:val="14"/>
        </w:rPr>
        <w:t xml:space="preserve">        </w:t>
      </w:r>
      <w:r>
        <w:rPr>
          <w:rFonts w:ascii="Times New Roman" w:hAnsi="Times New Roman" w:eastAsia="Times New Roman" w:cs="Times New Roman"/>
          <w:b/>
          <w:i/>
          <w:color w:val="000000"/>
          <w:sz w:val="24"/>
        </w:rPr>
        <w:t xml:space="preserve">заключение контрактов</w:t>
      </w:r>
      <w:r/>
    </w:p>
    <w:p>
      <w:pPr>
        <w:ind w:left="726" w:right="0" w:hanging="726"/>
        <w:jc w:val="both"/>
        <w:spacing w:before="0" w:after="0" w:line="25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i/>
          <w:color w:val="000000"/>
          <w:sz w:val="24"/>
        </w:rPr>
        <w:t xml:space="preserve">                 - </w:t>
      </w:r>
      <w:r/>
    </w:p>
    <w:p>
      <w:pPr>
        <w:ind w:left="0" w:right="0" w:firstLine="700"/>
        <w:jc w:val="both"/>
        <w:spacing w:after="0" w:line="25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10"/>
        </w:rPr>
        <w:t xml:space="preserve"> </w:t>
      </w:r>
      <w:r/>
    </w:p>
    <w:p>
      <w:pPr>
        <w:ind w:left="1291" w:right="0" w:hanging="1291"/>
        <w:jc w:val="both"/>
        <w:spacing w:before="0" w:after="0" w:line="25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          ·</w:t>
      </w:r>
      <w:r>
        <w:rPr>
          <w:rFonts w:ascii="Times New Roman" w:hAnsi="Times New Roman" w:eastAsia="Times New Roman" w:cs="Times New Roman"/>
          <w:color w:val="000000"/>
          <w:sz w:val="14"/>
        </w:rPr>
        <w:t xml:space="preserve">        </w:t>
      </w:r>
      <w:r>
        <w:rPr>
          <w:rFonts w:ascii="Times New Roman" w:hAnsi="Times New Roman" w:eastAsia="Times New Roman" w:cs="Times New Roman"/>
          <w:b/>
          <w:i/>
          <w:color w:val="000000"/>
          <w:sz w:val="24"/>
        </w:rPr>
        <w:t xml:space="preserve">имеющиеся проблемы и сроки их решения</w:t>
      </w:r>
      <w:r/>
    </w:p>
    <w:p>
      <w:pPr>
        <w:ind w:left="866" w:right="0" w:hanging="866"/>
        <w:jc w:val="both"/>
        <w:spacing w:before="0" w:after="0" w:line="25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i/>
          <w:color w:val="000000"/>
          <w:sz w:val="24"/>
        </w:rPr>
        <w:t xml:space="preserve">                 -</w:t>
      </w:r>
      <w:r/>
    </w:p>
    <w:p>
      <w:pPr>
        <w:ind w:left="1291" w:right="0" w:hanging="1291"/>
        <w:jc w:val="both"/>
        <w:spacing w:before="0" w:after="0" w:line="25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          ·</w:t>
      </w:r>
      <w:r>
        <w:rPr>
          <w:rFonts w:ascii="Times New Roman" w:hAnsi="Times New Roman" w:eastAsia="Times New Roman" w:cs="Times New Roman"/>
          <w:color w:val="000000"/>
          <w:sz w:val="14"/>
        </w:rPr>
        <w:t xml:space="preserve">        </w:t>
      </w:r>
      <w:r>
        <w:rPr>
          <w:rFonts w:ascii="Times New Roman" w:hAnsi="Times New Roman" w:eastAsia="Times New Roman" w:cs="Times New Roman"/>
          <w:b/>
          <w:i/>
          <w:color w:val="000000"/>
          <w:sz w:val="24"/>
        </w:rPr>
        <w:t xml:space="preserve">оставшиеся мероприятия</w:t>
      </w:r>
      <w:r/>
    </w:p>
    <w:p>
      <w:pPr>
        <w:ind w:left="1291" w:right="0" w:hanging="1291"/>
        <w:jc w:val="both"/>
        <w:spacing w:before="0" w:after="0" w:line="25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i/>
          <w:color w:val="000000"/>
          <w:sz w:val="24"/>
        </w:rPr>
        <w:t xml:space="preserve">                 -</w:t>
      </w:r>
      <w:r/>
    </w:p>
    <w:p>
      <w:pPr>
        <w:ind w:left="1291" w:right="0" w:hanging="1291"/>
        <w:jc w:val="both"/>
        <w:spacing w:before="0" w:after="0" w:line="25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          ·</w:t>
      </w:r>
      <w:r>
        <w:rPr>
          <w:rFonts w:ascii="Times New Roman" w:hAnsi="Times New Roman" w:eastAsia="Times New Roman" w:cs="Times New Roman"/>
          <w:color w:val="000000"/>
          <w:sz w:val="14"/>
        </w:rPr>
        <w:t xml:space="preserve">        </w:t>
      </w:r>
      <w:r>
        <w:rPr>
          <w:rFonts w:ascii="Times New Roman" w:hAnsi="Times New Roman" w:eastAsia="Times New Roman" w:cs="Times New Roman"/>
          <w:b/>
          <w:i/>
          <w:color w:val="000000"/>
          <w:sz w:val="24"/>
        </w:rPr>
        <w:t xml:space="preserve">участие МО в реализации проекта</w:t>
      </w:r>
      <w:r/>
    </w:p>
    <w:p>
      <w:pPr>
        <w:ind w:left="1291" w:right="0" w:hanging="1291"/>
        <w:jc w:val="both"/>
        <w:spacing w:before="0" w:after="0" w:line="25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i/>
          <w:color w:val="000000"/>
          <w:sz w:val="28"/>
        </w:rPr>
        <w:t xml:space="preserve">              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Все МО Республики Дагестан</w:t>
      </w:r>
      <w:r/>
    </w:p>
    <w:p>
      <w:pPr>
        <w:ind w:left="1291" w:right="0" w:hanging="1291"/>
        <w:jc w:val="both"/>
        <w:spacing w:before="0" w:after="0" w:line="25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i/>
          <w:color w:val="000000"/>
          <w:sz w:val="24"/>
        </w:rPr>
        <w:t xml:space="preserve"> </w:t>
      </w:r>
      <w:r/>
    </w:p>
    <w:p>
      <w:pPr>
        <w:ind w:left="0" w:right="0" w:firstLine="0"/>
        <w:jc w:val="both"/>
        <w:spacing w:after="0" w:line="25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 </w:t>
      </w:r>
      <w:r/>
    </w:p>
    <w:p>
      <w:pPr>
        <w:ind w:left="0" w:right="0" w:firstLine="700"/>
        <w:jc w:val="center"/>
        <w:spacing w:after="0" w:line="25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IV. Региональный проект</w:t>
      </w:r>
      <w:r/>
    </w:p>
    <w:p>
      <w:pPr>
        <w:ind w:left="0" w:right="0" w:firstLine="700"/>
        <w:jc w:val="center"/>
        <w:spacing w:after="0" w:line="25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«Информационная инфраструктура»</w:t>
      </w:r>
      <w:r/>
    </w:p>
    <w:p>
      <w:pPr>
        <w:ind w:left="1291" w:right="0" w:hanging="1291"/>
        <w:jc w:val="both"/>
        <w:spacing w:before="0" w:after="0" w:line="25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          ·</w:t>
      </w:r>
      <w:r>
        <w:rPr>
          <w:rFonts w:ascii="Times New Roman" w:hAnsi="Times New Roman" w:eastAsia="Times New Roman" w:cs="Times New Roman"/>
          <w:color w:val="000000"/>
          <w:sz w:val="14"/>
        </w:rPr>
        <w:t xml:space="preserve">        </w:t>
      </w:r>
      <w:r>
        <w:rPr>
          <w:rFonts w:ascii="Times New Roman" w:hAnsi="Times New Roman" w:eastAsia="Times New Roman" w:cs="Times New Roman"/>
          <w:b/>
          <w:i/>
          <w:color w:val="000000"/>
          <w:sz w:val="24"/>
        </w:rPr>
        <w:t xml:space="preserve">функциональные заказчики:</w:t>
      </w:r>
      <w:r/>
    </w:p>
    <w:p>
      <w:pPr>
        <w:ind w:left="0" w:right="0" w:firstLine="700"/>
        <w:jc w:val="both"/>
        <w:spacing w:after="0" w:line="25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Министерство цифрового развития Республики Дагестан</w:t>
      </w:r>
      <w:r/>
    </w:p>
    <w:p>
      <w:pPr>
        <w:ind w:left="1291" w:right="0" w:hanging="1291"/>
        <w:jc w:val="both"/>
        <w:spacing w:before="0" w:after="0" w:line="25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          ·</w:t>
      </w:r>
      <w:r>
        <w:rPr>
          <w:rFonts w:ascii="Times New Roman" w:hAnsi="Times New Roman" w:eastAsia="Times New Roman" w:cs="Times New Roman"/>
          <w:color w:val="000000"/>
          <w:sz w:val="14"/>
        </w:rPr>
        <w:t xml:space="preserve">        </w:t>
      </w:r>
      <w:r>
        <w:rPr>
          <w:rFonts w:ascii="Times New Roman" w:hAnsi="Times New Roman" w:eastAsia="Times New Roman" w:cs="Times New Roman"/>
          <w:b/>
          <w:i/>
          <w:color w:val="000000"/>
          <w:sz w:val="24"/>
        </w:rPr>
        <w:t xml:space="preserve">планируемые к достижению результаты</w:t>
      </w:r>
      <w:r/>
    </w:p>
    <w:p>
      <w:pPr>
        <w:ind w:left="0" w:right="0" w:firstLine="709"/>
        <w:jc w:val="both"/>
        <w:spacing w:after="0" w:line="25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i/>
          <w:color w:val="000000"/>
          <w:sz w:val="24"/>
        </w:rPr>
        <w:t xml:space="preserve">Р1. </w:t>
      </w:r>
      <w:r>
        <w:rPr>
          <w:rFonts w:ascii="Times New Roman" w:hAnsi="Times New Roman" w:eastAsia="Times New Roman" w:cs="Times New Roman"/>
          <w:i/>
          <w:color w:val="000000"/>
          <w:sz w:val="24"/>
          <w:highlight w:val="white"/>
        </w:rPr>
        <w:t xml:space="preserve">Обеспечение подключения широкополосного доступа к сети «Интернет» социально значимых объектов;</w:t>
      </w:r>
      <w:r/>
    </w:p>
    <w:p>
      <w:pPr>
        <w:ind w:left="0" w:right="0" w:firstLine="709"/>
        <w:jc w:val="both"/>
        <w:spacing w:after="0" w:line="25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Планируется оказание содействия в обеспечении заключения договоров на оплату услуг для СЗО непосредственно органами власти и учреждениями, в структуре которых находятся объекты СЗО.</w:t>
      </w:r>
      <w:r/>
    </w:p>
    <w:p>
      <w:pPr>
        <w:ind w:left="0" w:right="0" w:firstLine="709"/>
        <w:jc w:val="both"/>
        <w:spacing w:after="0" w:line="25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Также, органами государственной власти заключены договора на оказание услуг по доступу к сети «Интернет» социально значимым объектам, в том числе для 964 фельдшерско-акушерских пунктов и 338 администраций сельских поселений.</w:t>
      </w:r>
      <w:r/>
    </w:p>
    <w:p>
      <w:pPr>
        <w:ind w:left="0" w:right="0" w:firstLine="709"/>
        <w:jc w:val="both"/>
        <w:spacing w:after="0" w:line="253" w:lineRule="atLeast"/>
        <w:rPr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i/>
          <w:color w:val="000000"/>
          <w:sz w:val="24"/>
        </w:rPr>
        <w:t xml:space="preserve">Р2. </w:t>
      </w:r>
      <w:r>
        <w:rPr>
          <w:rFonts w:ascii="Times New Roman" w:hAnsi="Times New Roman" w:eastAsia="Times New Roman" w:cs="Times New Roman"/>
          <w:i/>
          <w:color w:val="000000"/>
          <w:sz w:val="24"/>
        </w:rPr>
        <w:t xml:space="preserve">Содействие в оказании универсальных услуг связи на территории Российской Федерации, в населенных пунктах с численностью населения от 100 до 500 человек.</w:t>
      </w:r>
      <w:r>
        <w:rPr>
          <w:highlight w:val="none"/>
        </w:rPr>
      </w:r>
      <w:r>
        <w:rPr>
          <w:highlight w:val="none"/>
        </w:rPr>
      </w:r>
    </w:p>
    <w:p>
      <w:pPr>
        <w:ind w:left="0" w:right="0" w:firstLine="709"/>
        <w:jc w:val="both"/>
        <w:spacing w:after="0" w:line="253" w:lineRule="atLeast"/>
        <w:rPr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ind w:firstLine="709"/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р</w:t>
      </w:r>
      <w:r>
        <w:rPr>
          <w:rFonts w:ascii="Times New Roman" w:hAnsi="Times New Roman" w:cs="Times New Roman"/>
          <w:sz w:val="28"/>
          <w:szCs w:val="28"/>
        </w:rPr>
        <w:t xml:space="preserve">аспоряжением Правительства РФ от 26 марта 2014 года № 437-р обязанности по оказанию универсальных услуг связи возложены на ПАО «Ростелеком» </w:t>
      </w:r>
      <w:r>
        <w:rPr>
          <w:rFonts w:ascii="Times New Roman" w:hAnsi="Times New Roman" w:cs="Times New Roman"/>
          <w:sz w:val="28"/>
          <w:szCs w:val="28"/>
        </w:rPr>
        <w:t xml:space="preserve">(</w:t>
      </w:r>
      <w:r>
        <w:rPr>
          <w:rFonts w:ascii="Times New Roman" w:hAnsi="Times New Roman" w:cs="Times New Roman"/>
          <w:sz w:val="28"/>
          <w:szCs w:val="28"/>
        </w:rPr>
        <w:t xml:space="preserve">исполнитель</w:t>
      </w:r>
      <w:r>
        <w:rPr>
          <w:rFonts w:ascii="Times New Roman" w:hAnsi="Times New Roman" w:cs="Times New Roman"/>
          <w:sz w:val="28"/>
          <w:szCs w:val="28"/>
        </w:rPr>
        <w:t xml:space="preserve"> проекта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Минцифры</w:t>
      </w:r>
      <w:r>
        <w:rPr>
          <w:rFonts w:ascii="Times New Roman" w:hAnsi="Times New Roman" w:cs="Times New Roman"/>
          <w:sz w:val="28"/>
          <w:szCs w:val="28"/>
        </w:rPr>
        <w:t xml:space="preserve"> РД в рамках соглашения с </w:t>
      </w:r>
      <w:r>
        <w:rPr>
          <w:rFonts w:ascii="Times New Roman" w:hAnsi="Times New Roman" w:cs="Times New Roman"/>
          <w:sz w:val="28"/>
          <w:szCs w:val="28"/>
        </w:rPr>
        <w:t xml:space="preserve">Минцифр</w:t>
      </w:r>
      <w:r>
        <w:rPr>
          <w:rFonts w:ascii="Times New Roman" w:hAnsi="Times New Roman" w:cs="Times New Roman"/>
          <w:sz w:val="28"/>
          <w:szCs w:val="28"/>
        </w:rPr>
        <w:t xml:space="preserve">ы</w:t>
      </w:r>
      <w:r>
        <w:rPr>
          <w:rFonts w:ascii="Times New Roman" w:hAnsi="Times New Roman" w:cs="Times New Roman"/>
          <w:sz w:val="28"/>
          <w:szCs w:val="28"/>
        </w:rPr>
        <w:t xml:space="preserve"> России, оказывает содействие в реализации мероприятий проекта на территории Республики Дагестан ПАО «Ростелеком», в том числе в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выделении земельных участков для размещения антенно-мачтовых сооружений связи для оказания универсальных услуг ПРТС, в своевременном подключении оборудования сети связи, предназначенного для оказа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ния универсальных услуг ПРТС, к сети энергоснабжения, в своевременном согласовании строительства линейно-кабельных сооружений, необходимых для оказания универсальных услуг ПРТС.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700"/>
        <w:jc w:val="both"/>
        <w:spacing w:before="240" w:after="240" w:line="25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i/>
          <w:color w:val="000000"/>
          <w:sz w:val="24"/>
        </w:rPr>
        <w:t xml:space="preserve"> ·</w:t>
      </w:r>
      <w:r>
        <w:rPr>
          <w:rFonts w:ascii="Times New Roman" w:hAnsi="Times New Roman" w:eastAsia="Times New Roman" w:cs="Times New Roman"/>
          <w:color w:val="000000"/>
          <w:sz w:val="14"/>
        </w:rPr>
        <w:t xml:space="preserve">        </w:t>
      </w:r>
      <w:r>
        <w:rPr>
          <w:rFonts w:ascii="Times New Roman" w:hAnsi="Times New Roman" w:eastAsia="Times New Roman" w:cs="Times New Roman"/>
          <w:b/>
          <w:i/>
          <w:color w:val="000000"/>
          <w:sz w:val="24"/>
        </w:rPr>
        <w:t xml:space="preserve">планируемые к достижению показатели</w:t>
      </w:r>
      <w:r/>
    </w:p>
    <w:tbl>
      <w:tblPr>
        <w:tblStyle w:val="801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567"/>
        <w:gridCol w:w="4455"/>
        <w:gridCol w:w="850"/>
        <w:gridCol w:w="851"/>
        <w:gridCol w:w="992"/>
        <w:gridCol w:w="1559"/>
      </w:tblGrid>
      <w:tr>
        <w:trPr>
          <w:trHeight w:val="495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№</w:t>
            </w:r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44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Показатели</w:t>
            </w:r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85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План</w:t>
            </w:r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85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Факт</w:t>
            </w:r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%</w:t>
            </w:r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155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Примечание</w:t>
            </w:r>
            <w:r/>
          </w:p>
        </w:tc>
      </w:tr>
      <w:tr>
        <w:trPr>
          <w:trHeight w:val="1206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445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Доля социально значимых объектов, имеющих широкополосный доступ к информационно телекоммуникационной сети «Интернет» в соответствии с утвержденными требованиями, процент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85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100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85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100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100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155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</w:t>
            </w:r>
            <w:r/>
          </w:p>
        </w:tc>
      </w:tr>
    </w:tbl>
    <w:p>
      <w:pPr>
        <w:ind w:left="0" w:right="0" w:firstLine="700"/>
        <w:jc w:val="both"/>
        <w:spacing w:after="0" w:line="25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i/>
          <w:color w:val="000000"/>
          <w:sz w:val="24"/>
        </w:rPr>
        <w:t xml:space="preserve">•  заключение соглашений</w:t>
      </w:r>
      <w:r/>
    </w:p>
    <w:p>
      <w:pPr>
        <w:ind w:left="0" w:right="0" w:firstLine="700"/>
        <w:jc w:val="both"/>
        <w:spacing w:after="0" w:line="25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В системе «Электронный бюджет» заключено индикативное соглашение от 18 июля 2019 г. № 071-2019-D2001-5, дополнительное соглашение от 12 декабря 2019 г. № 071-2019-D2001-5/1, дополнительное соглашение от 22 декабря 2020 г. № 071-2019-D2001-5/1.1,</w:t>
      </w:r>
      <w:r>
        <w:rPr>
          <w:rFonts w:ascii="Arial" w:hAnsi="Arial" w:eastAsia="Arial" w:cs="Arial"/>
          <w:color w:val="000000"/>
          <w:sz w:val="22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от 22.12.2020 г. № 071-2019-D2001-5/1.1, от 08.12.2020 г. № 071-2019-D2001-5/2, от 18.11.2021 г. № 071-2019-D2001-5/3, от 03.12.2021 г. № 071-2019-D2001-5/4,  от 30.12.2021 г. № 071-2019-D2001-5/5, от 13.07.2022 г. № 071-2019-D2001-5/6, от 16.08.2022 г. №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071-2019-D2001-5/7, от 26.08.2022 г.  № 071-2019-D2001-5/8, от 02.09.2022 г. № 071-2019-D2001-5/9, от 21.11.2022 г. № 071-2019-D2001-5/10 о реализации регионального проекта «Информационная инфраструктура (Республика Дагестан)» на территории Республики Даге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стан; финансовое соглашение от 23.12.2020 года № 071-09-2021-143, дополнительное соглашение от 30.12.2021 года № 071-09-2021-143/1, от 08.02.2022 №071-09-2021-143/2, от 23.03.2022 № 071-09-2021-143/3, от 14.06.2022 № 071-09-2021-143/4, от 25.11.2022 г. № 0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71-09-2021-143/5, от 14.12.2022 г. № 071-09-2021-143/6, от 29.12.2022 г. № 071-09-2021-143/7,</w:t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 от 23.05.2023 г. № 071-2019-D2001-5/12, от 21.12.2022 г. № 071-2019-D2001-5/11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 «О предоставлении субсидии из федерального бюджета бюджету субъекта Российской Федерации на формирование ИТ-инфраструктуры в государственных (муниципальных) образовательных организациях, реализующих программы общего образования, в соответствии с утвержден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ным стандартом для обеспечения в помещениях безопасного доступа к государственным, муниципальным и иным информационным системам, а также к сети "Интернет"»; соглашение от 23.12.2020 года № 071-09-2021-083 «О предоставлении субсидии из федерального бюджета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бюджету субъекта Российской Федерации на обеспечение на судебных участках мировых судей защищенного подключения к сети Государственной автоматизированной системы Российской Федерации "Правосудие", а также организации защищенного межведомственного электронн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ого взаимодействия», дополнительное соглашение от 20.05.2021 № 071-09-2021-083/1, дополнительное соглашение от 27.10.2021 № 071-09-2021-083/2, от 08.12.2021 № 071-09-2021-083/3,</w:t>
      </w:r>
      <w:r>
        <w:rPr>
          <w:rFonts w:ascii="Arial" w:hAnsi="Arial" w:eastAsia="Arial" w:cs="Arial"/>
          <w:color w:val="000000"/>
          <w:sz w:val="22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от 23.12.2021 № 071-09-2021-083/4, от 30.03.2022 №071-09-2021-083/5, от 02.06.2022 № 071-09-2021-083/6, от 26.08.2022 г. № 071-09-2021-083/7; соглашение о предоставлении ИМБТ от 30.12.2021 года № 071-17-2022-047, дополнительное соглашение от 23.06.2022 № 0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71-17-2022-047/1, от 11.08.2022 № 071-17-2022-047/2, от 28.09.2022 г. № 071-17-2022-047/3  на создание и организацию работы Службы «122».</w:t>
      </w:r>
      <w:r/>
    </w:p>
    <w:p>
      <w:pPr>
        <w:ind w:left="0" w:right="0" w:firstLine="700"/>
        <w:jc w:val="both"/>
        <w:spacing w:after="0" w:line="25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 </w:t>
      </w:r>
      <w:r>
        <w:rPr>
          <w:rFonts w:ascii="Times New Roman" w:hAnsi="Times New Roman" w:eastAsia="Times New Roman" w:cs="Times New Roman"/>
          <w:b/>
          <w:i/>
          <w:color w:val="000000"/>
          <w:sz w:val="24"/>
        </w:rPr>
        <w:t xml:space="preserve">•  бюджет регионального проекта</w:t>
      </w:r>
      <w:r/>
    </w:p>
    <w:p>
      <w:pPr>
        <w:ind w:left="0" w:right="0" w:firstLine="700"/>
        <w:jc w:val="both"/>
        <w:spacing w:after="0" w:line="25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Всего – 0 млн руб., в том числе:</w:t>
      </w:r>
      <w:r/>
    </w:p>
    <w:p>
      <w:pPr>
        <w:ind w:left="0" w:right="0" w:firstLine="700"/>
        <w:jc w:val="both"/>
        <w:spacing w:after="0" w:line="25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0 – средства федерального бюджета;</w:t>
      </w:r>
      <w:r/>
    </w:p>
    <w:p>
      <w:pPr>
        <w:ind w:left="0" w:right="0" w:firstLine="700"/>
        <w:jc w:val="both"/>
        <w:spacing w:after="0" w:line="25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0 – средства республиканского бюджета.</w:t>
      </w:r>
      <w:r/>
    </w:p>
    <w:p>
      <w:pPr>
        <w:ind w:left="0" w:right="0" w:firstLine="700"/>
        <w:jc w:val="both"/>
        <w:spacing w:after="0" w:line="25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i/>
          <w:color w:val="000000"/>
          <w:sz w:val="28"/>
        </w:rPr>
        <w:t xml:space="preserve">Кассовое исполнение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 – 100 %.</w:t>
      </w:r>
      <w:r/>
    </w:p>
    <w:p>
      <w:pPr>
        <w:ind w:left="0" w:right="0" w:firstLine="700"/>
        <w:jc w:val="both"/>
        <w:spacing w:after="0" w:line="25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 </w:t>
      </w:r>
      <w:r>
        <w:rPr>
          <w:rFonts w:ascii="Times New Roman" w:hAnsi="Times New Roman" w:eastAsia="Times New Roman" w:cs="Times New Roman"/>
          <w:b/>
          <w:i/>
          <w:color w:val="000000"/>
          <w:sz w:val="24"/>
        </w:rPr>
        <w:t xml:space="preserve">•  проводимая работа, достигнутые результаты</w:t>
      </w:r>
      <w:r/>
    </w:p>
    <w:p>
      <w:pPr>
        <w:ind w:left="0" w:right="0" w:firstLine="700"/>
        <w:jc w:val="both"/>
        <w:spacing w:after="0" w:line="253" w:lineRule="atLeast"/>
        <w:rPr>
          <w:rFonts w:ascii="Times New Roman" w:hAnsi="Times New Roman" w:eastAsia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i/>
          <w:color w:val="000000"/>
          <w:sz w:val="28"/>
        </w:rPr>
        <w:t xml:space="preserve">Р2.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 Мероприятие реализуется в рамках проекта Устранение цифрового неравенства 2.0. Согласно новыми изменениями от 7 апреля 2020 года ФЗ «О связи» в населенных пунктах с населением 100-500 человек, в которых не оказываются услуги подвижной радиотелефонной связ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и (ПРТС), должны быть оборудованы для оказания услуг ПРТС. </w:t>
      </w:r>
      <w:r>
        <w:rPr>
          <w:rFonts w:ascii="Times New Roman" w:hAnsi="Times New Roman" w:eastAsia="Times New Roman" w:cs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С учетом результатов Всероссийской переписи населения - 2020 в проект УЦН включены 492 населённых пункта Республики Дагестан.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 По итогам голосования на портале Госуслуг  план-график подключения на 2023 год</w:t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 с учетом квоты,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выделенной для Республики Дагестан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 включены 76 населенных пунктов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left="0" w:right="0" w:firstLine="700"/>
        <w:jc w:val="both"/>
        <w:spacing w:after="0" w:line="253" w:lineRule="atLeast"/>
        <w:rPr>
          <w:rFonts w:ascii="Times New Roman" w:hAnsi="Times New Roman" w:eastAsia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</w:r>
      <w:r>
        <w:rPr>
          <w:rFonts w:ascii="Times New Roman" w:hAnsi="Times New Roman" w:eastAsia="Times New Roman" w:cs="Times New Roman"/>
          <w:color w:val="000000"/>
          <w:sz w:val="28"/>
          <w:lang w:val="ru-RU"/>
        </w:rPr>
        <w:t xml:space="preserve">Всего 2023 году  на территории населенных пунктов республики введены в эксплуатацию 71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 объектов, с помощью которых оказываются услуги ПРТС. При этом строительство и ввод в эксплуатацию объектов связи в 3 населенных пунктах перенесены на 2024 год, а в 2 населенных пунктах исключены из плана-графика подключений.  При этом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оказано содействие оператору универсальных услуг связи ПАО «Ростелеком» в формировании, подписании отчетных материалов об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 организации сети подвижной радиотелефонной связи в населенных пунктах Республики Дагестан. кроме того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проработан вопрос о выделении земельных участков для размещения объектов связи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с Главами администрации Чародинского, Гунибского района и Бежтинского участка.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left="0" w:right="0" w:firstLine="425"/>
        <w:jc w:val="both"/>
        <w:spacing w:after="0" w:line="25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i/>
          <w:color w:val="000000"/>
          <w:sz w:val="28"/>
        </w:rPr>
        <w:t xml:space="preserve">   •</w:t>
      </w:r>
      <w:r>
        <w:rPr>
          <w:rFonts w:ascii="Times New Roman" w:hAnsi="Times New Roman" w:eastAsia="Times New Roman" w:cs="Times New Roman"/>
          <w:b/>
          <w:i/>
          <w:color w:val="000000"/>
          <w:sz w:val="24"/>
        </w:rPr>
        <w:t xml:space="preserve">   заключение контрактов</w:t>
      </w:r>
      <w:r/>
    </w:p>
    <w:p>
      <w:pPr>
        <w:ind w:left="0" w:right="0" w:firstLine="0"/>
        <w:jc w:val="both"/>
        <w:spacing w:after="0" w:line="25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             </w:t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- заключение контрактов не предусматривается</w:t>
      </w:r>
      <w:r/>
    </w:p>
    <w:p>
      <w:pPr>
        <w:ind w:left="0" w:right="0" w:firstLine="425"/>
        <w:jc w:val="both"/>
        <w:spacing w:after="0" w:line="25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i/>
          <w:color w:val="000000"/>
          <w:sz w:val="28"/>
        </w:rPr>
        <w:t xml:space="preserve">   •  </w:t>
      </w:r>
      <w:r>
        <w:rPr>
          <w:rFonts w:ascii="Times New Roman" w:hAnsi="Times New Roman" w:eastAsia="Times New Roman" w:cs="Times New Roman"/>
          <w:b/>
          <w:i/>
          <w:color w:val="000000"/>
          <w:sz w:val="24"/>
        </w:rPr>
        <w:t xml:space="preserve">имеющиеся проблемы и сроки их решения</w:t>
      </w:r>
      <w:r/>
    </w:p>
    <w:p>
      <w:pPr>
        <w:ind w:left="0" w:right="0" w:firstLine="360"/>
        <w:jc w:val="both"/>
        <w:spacing w:after="0" w:line="25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    В связи с возникающими трудностями в горных районах по транспортировке необходимого оборудования и материалов для строительства объектов связи, в соответствии с обращением Дагестанского филиала ПАО «Ростелеком»  рассмотрена возможность переноса срока с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дачи </w:t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  <w:u w:val="none"/>
        </w:rPr>
        <w:t xml:space="preserve">некоторых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 базовых станций на территории населенных пунктов Республики Дагестан. </w:t>
      </w:r>
      <w:r>
        <w:rPr>
          <w:rFonts w:ascii="Times New Roman" w:hAnsi="Times New Roman" w:eastAsia="Times New Roman" w:cs="Times New Roman"/>
          <w:color w:val="000000"/>
          <w:sz w:val="28"/>
          <w:highlight w:val="none"/>
        </w:rPr>
        <w:t xml:space="preserve">В этой связи</w:t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 на заседании Правительственной комиссии Республики Дагестан  по использованию информационных технологий для формирования экосистеме цифровой экономики от 22 августа</w:t>
        <w:tab/>
        <w:t xml:space="preserve">2023 года, рассмотрен вопрос о ходе реализации мероприятий федерального проекта</w:t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 «УЦН 2.0». По итогам которого даны рекомендации Главам муниципальных районов Республики Дагестан в части проведения информационно-разъяснительной работы с жителями населенных пунктов по вопросам радиофобии, а также провести анализ состояния электросетевой</w:t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 инфраструктуры и наличия земельных участков для строительства базовых станций в определенные проектом сроки.</w:t>
      </w:r>
      <w:r>
        <w:rPr>
          <w:highlight w:val="none"/>
        </w:rPr>
      </w:r>
      <w:r/>
    </w:p>
    <w:p>
      <w:pPr>
        <w:ind w:left="0" w:right="0" w:firstLine="360"/>
        <w:jc w:val="both"/>
        <w:spacing w:after="0" w:line="253" w:lineRule="atLeast"/>
        <w:rPr>
          <w:rFonts w:ascii="Times New Roman" w:hAnsi="Times New Roman" w:eastAsia="Times New Roman" w:cs="Times New Roman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Существует проблема радиофобии среди населения, в связи с чем в населенных пунктах граждане устраивают коллективные протесты против установки базовых станций сотовой связи. В ходе таких протестов реализация мероприятий по установке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базовых станций сотовой связи в населенных пунктах  Исоо Цунтинского района и Чарода Чародинского района, перенесена с 2023 года на 2024 год, а населенные пункты Силта Гунибского района и Дарада Гергебильского района исключены из плана-графика подключений.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Также, в связи с отсутствием возможности подключения к постоянному электроснабжению, ввод в эксплуатацию объекта связи на острове Чечень перенесен на 2024 год.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0" w:right="0" w:firstLine="360"/>
        <w:jc w:val="both"/>
        <w:spacing w:after="0" w:line="253" w:lineRule="atLeast"/>
        <w:rPr>
          <w:rFonts w:ascii="Times New Roman" w:hAnsi="Times New Roman" w:cs="Times New Roman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highlight w:val="white"/>
        </w:rPr>
      </w:r>
      <w:r>
        <w:rPr>
          <w:rFonts w:ascii="Times New Roman" w:hAnsi="Times New Roman" w:cs="Times New Roman"/>
          <w:highlight w:val="white"/>
        </w:rPr>
      </w:r>
    </w:p>
    <w:p>
      <w:pPr>
        <w:numPr>
          <w:ilvl w:val="0"/>
          <w:numId w:val="21"/>
        </w:numPr>
        <w:ind w:left="720" w:right="0" w:hanging="11"/>
        <w:jc w:val="both"/>
        <w:spacing w:before="0" w:after="0" w:line="253" w:lineRule="atLeast"/>
        <w:tabs>
          <w:tab w:val="left" w:pos="993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i/>
          <w:color w:val="000000"/>
          <w:sz w:val="24"/>
        </w:rPr>
        <w:t xml:space="preserve">оставшиеся мероприятия</w:t>
      </w:r>
      <w:r/>
    </w:p>
    <w:p>
      <w:pPr>
        <w:ind w:left="720" w:right="0" w:hanging="11"/>
        <w:jc w:val="both"/>
        <w:spacing w:before="0" w:after="0" w:line="253" w:lineRule="atLeast"/>
        <w:tabs>
          <w:tab w:val="left" w:pos="567" w:leader="none"/>
          <w:tab w:val="left" w:pos="709" w:leader="none"/>
          <w:tab w:val="left" w:pos="993" w:leader="none"/>
          <w:tab w:val="left" w:pos="3161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    </w:t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- отсутствуют</w:t>
      </w:r>
      <w:r>
        <w:rPr>
          <w:rFonts w:ascii="Arial" w:hAnsi="Arial" w:eastAsia="Arial" w:cs="Arial"/>
          <w:color w:val="000000"/>
          <w:sz w:val="22"/>
        </w:rPr>
        <w:tab/>
      </w:r>
      <w:r/>
    </w:p>
    <w:p>
      <w:pPr>
        <w:numPr>
          <w:ilvl w:val="0"/>
          <w:numId w:val="21"/>
        </w:numPr>
        <w:ind w:left="720" w:right="0" w:hanging="11"/>
        <w:jc w:val="both"/>
        <w:spacing w:before="0" w:after="0" w:line="253" w:lineRule="atLeast"/>
        <w:tabs>
          <w:tab w:val="left" w:pos="993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i/>
          <w:color w:val="000000"/>
          <w:sz w:val="24"/>
        </w:rPr>
        <w:t xml:space="preserve">участие МО в реализации проекта</w:t>
      </w:r>
      <w:r/>
    </w:p>
    <w:p>
      <w:pPr>
        <w:ind w:left="720" w:right="0" w:hanging="11"/>
        <w:jc w:val="both"/>
        <w:spacing w:before="0" w:after="0" w:line="253" w:lineRule="atLeast"/>
        <w:tabs>
          <w:tab w:val="left" w:pos="567" w:leader="none"/>
          <w:tab w:val="left" w:pos="993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ab/>
        <w:t xml:space="preserve">  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   Все МО Республики Дагестан</w:t>
      </w:r>
      <w:r/>
    </w:p>
    <w:p>
      <w:pPr>
        <w:ind w:left="720" w:right="0" w:hanging="11"/>
        <w:spacing w:line="25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2"/>
        </w:rPr>
        <w:t xml:space="preserve"> </w:t>
      </w:r>
      <w:r/>
    </w:p>
    <w:p>
      <w:pPr>
        <w:ind w:left="0" w:right="0" w:firstLine="0"/>
        <w:spacing w:after="0" w:line="25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 </w:t>
      </w:r>
      <w:r/>
    </w:p>
    <w:p>
      <w:pPr>
        <w:pStyle w:val="730"/>
        <w:ind w:left="0" w:right="0" w:firstLine="0"/>
        <w:jc w:val="center"/>
        <w:spacing w:before="0" w:after="0" w:line="460" w:lineRule="atLeast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ymbol">
    <w:panose1 w:val="05010000000000000000"/>
  </w:font>
  <w:font w:name="Wingdings">
    <w:panose1 w:val="05010000000000000000"/>
  </w:font>
  <w:font w:name="Courier New">
    <w:panose1 w:val="020704090202050204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418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69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 w:eastAsia="Wingdings" w:cs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2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6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2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89" w:hanging="360"/>
      </w:pPr>
      <w:rPr>
        <w:rFonts w:hint="default" w:ascii="Wingdings" w:hAnsi="Wingdings" w:eastAsia="Wingdings" w:cs="Wingdings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985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705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3425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4145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865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585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6305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7025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745" w:hanging="360"/>
      </w:pPr>
      <w:rPr>
        <w:rFonts w:hint="default" w:ascii="Wingdings" w:hAnsi="Wingdings" w:eastAsia="Wingdings" w:cs="Wingdings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 w:eastAsia="Wingdings" w:cs="Wingdings"/>
      </w:r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 w:eastAsia="Wingdings" w:cs="Wingdings"/>
      </w:r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058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77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49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21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3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65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37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09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818" w:hanging="360"/>
      </w:pPr>
      <w:rPr>
        <w:rFonts w:hint="default" w:ascii="Wingdings" w:hAnsi="Wingdings" w:eastAsia="Wingdings" w:cs="Wingdings"/>
      </w:r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046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855" w:hanging="360"/>
      </w:pPr>
      <w:rPr>
        <w:rFonts w:hint="default" w:ascii="Symbol" w:hAnsi="Symbol"/>
        <w:sz w:val="16"/>
      </w:rPr>
    </w:lvl>
    <w:lvl w:ilvl="1">
      <w:start w:val="1"/>
      <w:numFmt w:val="bullet"/>
      <w:isLgl w:val="false"/>
      <w:suff w:val="tab"/>
      <w:lvlText w:val="o"/>
      <w:lvlJc w:val="left"/>
      <w:pPr>
        <w:ind w:left="1575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295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015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735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455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175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895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615" w:hanging="360"/>
      </w:pPr>
      <w:rPr>
        <w:rFonts w:hint="default" w:ascii="Wingdings" w:hAnsi="Wingdings"/>
      </w:rPr>
    </w:lvl>
  </w:abstractNum>
  <w:abstractNum w:abstractNumId="2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855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575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295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015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735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455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175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895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615" w:hanging="360"/>
      </w:pPr>
      <w:rPr>
        <w:rFonts w:hint="default" w:ascii="Wingdings" w:hAnsi="Wingdings"/>
      </w:rPr>
    </w:lvl>
  </w:abstractNum>
  <w:abstractNum w:abstractNumId="2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855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575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295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015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735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455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175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895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615" w:hanging="360"/>
      </w:pPr>
      <w:rPr>
        <w:rFonts w:hint="default" w:ascii="Wingdings" w:hAnsi="Wingdings"/>
      </w:rPr>
    </w:lvl>
  </w:abstractNum>
  <w:abstractNum w:abstractNumId="2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855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575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295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015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735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455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175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895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615" w:hanging="360"/>
      </w:pPr>
      <w:rPr>
        <w:rFonts w:hint="default" w:ascii="Wingdings" w:hAnsi="Wingdings"/>
      </w:rPr>
    </w:lvl>
  </w:abstractNum>
  <w:num w:numId="1">
    <w:abstractNumId w:val="8"/>
  </w:num>
  <w:num w:numId="2">
    <w:abstractNumId w:val="13"/>
  </w:num>
  <w:num w:numId="3">
    <w:abstractNumId w:val="14"/>
  </w:num>
  <w:num w:numId="4">
    <w:abstractNumId w:val="1"/>
  </w:num>
  <w:num w:numId="5">
    <w:abstractNumId w:val="4"/>
  </w:num>
  <w:num w:numId="6">
    <w:abstractNumId w:val="9"/>
  </w:num>
  <w:num w:numId="7">
    <w:abstractNumId w:val="5"/>
  </w:num>
  <w:num w:numId="8">
    <w:abstractNumId w:val="7"/>
  </w:num>
  <w:num w:numId="9">
    <w:abstractNumId w:val="2"/>
  </w:num>
  <w:num w:numId="10">
    <w:abstractNumId w:val="15"/>
  </w:num>
  <w:num w:numId="11">
    <w:abstractNumId w:val="6"/>
  </w:num>
  <w:num w:numId="12">
    <w:abstractNumId w:val="3"/>
  </w:num>
  <w:num w:numId="13">
    <w:abstractNumId w:val="0"/>
  </w:num>
  <w:num w:numId="14">
    <w:abstractNumId w:val="10"/>
  </w:num>
  <w:num w:numId="15">
    <w:abstractNumId w:val="11"/>
  </w:num>
  <w:num w:numId="16">
    <w:abstractNumId w:val="12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10">
    <w:name w:val="Plain Table 1"/>
    <w:basedOn w:val="74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1">
    <w:name w:val="Plain Table 2"/>
    <w:basedOn w:val="74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2">
    <w:name w:val="Plain Table 3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3">
    <w:name w:val="Plain Table 4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Plain Table 5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5">
    <w:name w:val="Grid Table 1 Light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2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4"/>
    <w:basedOn w:val="74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9">
    <w:name w:val="Grid Table 5 Dark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0">
    <w:name w:val="Grid Table 6 Colorful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1">
    <w:name w:val="Grid Table 7 Colorful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List Table 1 Light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List Table 2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24">
    <w:name w:val="List Table 3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List Table 4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List Table 5 Dark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27">
    <w:name w:val="List Table 6 Colorful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28">
    <w:name w:val="List Table 7 Colorful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paragraph" w:styleId="729" w:default="1">
    <w:name w:val="Normal"/>
    <w:qFormat/>
  </w:style>
  <w:style w:type="paragraph" w:styleId="730">
    <w:name w:val="Heading 1"/>
    <w:basedOn w:val="729"/>
    <w:next w:val="729"/>
    <w:link w:val="778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731">
    <w:name w:val="Heading 2"/>
    <w:basedOn w:val="729"/>
    <w:next w:val="729"/>
    <w:link w:val="779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732">
    <w:name w:val="Heading 3"/>
    <w:basedOn w:val="729"/>
    <w:next w:val="729"/>
    <w:link w:val="780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733">
    <w:name w:val="Heading 4"/>
    <w:basedOn w:val="729"/>
    <w:next w:val="729"/>
    <w:link w:val="781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34">
    <w:name w:val="Heading 5"/>
    <w:basedOn w:val="729"/>
    <w:next w:val="729"/>
    <w:link w:val="782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35">
    <w:name w:val="Heading 6"/>
    <w:basedOn w:val="729"/>
    <w:next w:val="729"/>
    <w:link w:val="783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736">
    <w:name w:val="Heading 7"/>
    <w:basedOn w:val="729"/>
    <w:next w:val="729"/>
    <w:link w:val="784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737">
    <w:name w:val="Heading 8"/>
    <w:basedOn w:val="729"/>
    <w:next w:val="729"/>
    <w:link w:val="785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738">
    <w:name w:val="Heading 9"/>
    <w:basedOn w:val="729"/>
    <w:next w:val="729"/>
    <w:link w:val="786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9" w:default="1">
    <w:name w:val="Default Paragraph Font"/>
    <w:uiPriority w:val="1"/>
    <w:semiHidden/>
    <w:unhideWhenUsed/>
  </w:style>
  <w:style w:type="table" w:styleId="74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41" w:default="1">
    <w:name w:val="No List"/>
    <w:uiPriority w:val="99"/>
    <w:semiHidden/>
    <w:unhideWhenUsed/>
  </w:style>
  <w:style w:type="character" w:styleId="742" w:customStyle="1">
    <w:name w:val="Heading 1 Char"/>
    <w:basedOn w:val="739"/>
    <w:uiPriority w:val="9"/>
    <w:rPr>
      <w:rFonts w:ascii="Arial" w:hAnsi="Arial" w:eastAsia="Arial" w:cs="Arial"/>
      <w:sz w:val="40"/>
      <w:szCs w:val="40"/>
    </w:rPr>
  </w:style>
  <w:style w:type="character" w:styleId="743" w:customStyle="1">
    <w:name w:val="Heading 2 Char"/>
    <w:basedOn w:val="739"/>
    <w:uiPriority w:val="9"/>
    <w:rPr>
      <w:rFonts w:ascii="Arial" w:hAnsi="Arial" w:eastAsia="Arial" w:cs="Arial"/>
      <w:sz w:val="34"/>
    </w:rPr>
  </w:style>
  <w:style w:type="character" w:styleId="744" w:customStyle="1">
    <w:name w:val="Heading 3 Char"/>
    <w:basedOn w:val="739"/>
    <w:uiPriority w:val="9"/>
    <w:rPr>
      <w:rFonts w:ascii="Arial" w:hAnsi="Arial" w:eastAsia="Arial" w:cs="Arial"/>
      <w:sz w:val="30"/>
      <w:szCs w:val="30"/>
    </w:rPr>
  </w:style>
  <w:style w:type="character" w:styleId="745" w:customStyle="1">
    <w:name w:val="Heading 4 Char"/>
    <w:basedOn w:val="739"/>
    <w:uiPriority w:val="9"/>
    <w:rPr>
      <w:rFonts w:ascii="Arial" w:hAnsi="Arial" w:eastAsia="Arial" w:cs="Arial"/>
      <w:b/>
      <w:bCs/>
      <w:sz w:val="26"/>
      <w:szCs w:val="26"/>
    </w:rPr>
  </w:style>
  <w:style w:type="character" w:styleId="746" w:customStyle="1">
    <w:name w:val="Heading 5 Char"/>
    <w:basedOn w:val="739"/>
    <w:uiPriority w:val="9"/>
    <w:rPr>
      <w:rFonts w:ascii="Arial" w:hAnsi="Arial" w:eastAsia="Arial" w:cs="Arial"/>
      <w:b/>
      <w:bCs/>
      <w:sz w:val="24"/>
      <w:szCs w:val="24"/>
    </w:rPr>
  </w:style>
  <w:style w:type="character" w:styleId="747" w:customStyle="1">
    <w:name w:val="Heading 6 Char"/>
    <w:basedOn w:val="739"/>
    <w:uiPriority w:val="9"/>
    <w:rPr>
      <w:rFonts w:ascii="Arial" w:hAnsi="Arial" w:eastAsia="Arial" w:cs="Arial"/>
      <w:b/>
      <w:bCs/>
      <w:sz w:val="22"/>
      <w:szCs w:val="22"/>
    </w:rPr>
  </w:style>
  <w:style w:type="character" w:styleId="748" w:customStyle="1">
    <w:name w:val="Heading 7 Char"/>
    <w:basedOn w:val="73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49" w:customStyle="1">
    <w:name w:val="Heading 8 Char"/>
    <w:basedOn w:val="739"/>
    <w:uiPriority w:val="9"/>
    <w:rPr>
      <w:rFonts w:ascii="Arial" w:hAnsi="Arial" w:eastAsia="Arial" w:cs="Arial"/>
      <w:i/>
      <w:iCs/>
      <w:sz w:val="22"/>
      <w:szCs w:val="22"/>
    </w:rPr>
  </w:style>
  <w:style w:type="character" w:styleId="750" w:customStyle="1">
    <w:name w:val="Heading 9 Char"/>
    <w:basedOn w:val="739"/>
    <w:uiPriority w:val="9"/>
    <w:rPr>
      <w:rFonts w:ascii="Arial" w:hAnsi="Arial" w:eastAsia="Arial" w:cs="Arial"/>
      <w:i/>
      <w:iCs/>
      <w:sz w:val="21"/>
      <w:szCs w:val="21"/>
    </w:rPr>
  </w:style>
  <w:style w:type="character" w:styleId="751" w:customStyle="1">
    <w:name w:val="Title Char"/>
    <w:basedOn w:val="739"/>
    <w:uiPriority w:val="10"/>
    <w:rPr>
      <w:sz w:val="48"/>
      <w:szCs w:val="48"/>
    </w:rPr>
  </w:style>
  <w:style w:type="character" w:styleId="752" w:customStyle="1">
    <w:name w:val="Subtitle Char"/>
    <w:basedOn w:val="739"/>
    <w:uiPriority w:val="11"/>
    <w:rPr>
      <w:sz w:val="24"/>
      <w:szCs w:val="24"/>
    </w:rPr>
  </w:style>
  <w:style w:type="character" w:styleId="753" w:customStyle="1">
    <w:name w:val="Quote Char"/>
    <w:uiPriority w:val="29"/>
    <w:rPr>
      <w:i/>
    </w:rPr>
  </w:style>
  <w:style w:type="character" w:styleId="754" w:customStyle="1">
    <w:name w:val="Intense Quote Char"/>
    <w:uiPriority w:val="30"/>
    <w:rPr>
      <w:i/>
    </w:rPr>
  </w:style>
  <w:style w:type="character" w:styleId="755" w:customStyle="1">
    <w:name w:val="Header Char"/>
    <w:basedOn w:val="739"/>
    <w:uiPriority w:val="99"/>
  </w:style>
  <w:style w:type="character" w:styleId="756" w:customStyle="1">
    <w:name w:val="Caption Char"/>
    <w:uiPriority w:val="99"/>
  </w:style>
  <w:style w:type="table" w:styleId="757" w:customStyle="1">
    <w:name w:val="Таблица простая 11"/>
    <w:basedOn w:val="740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8" w:customStyle="1">
    <w:name w:val="Таблица простая 21"/>
    <w:basedOn w:val="740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9" w:customStyle="1">
    <w:name w:val="Таблица простая 31"/>
    <w:basedOn w:val="74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0" w:customStyle="1">
    <w:name w:val="Таблица простая 41"/>
    <w:basedOn w:val="74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 w:customStyle="1">
    <w:name w:val="Таблица простая 51"/>
    <w:basedOn w:val="74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2" w:customStyle="1">
    <w:name w:val="Таблица-сетка 1 светлая1"/>
    <w:basedOn w:val="74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Таблица-сетка 21"/>
    <w:basedOn w:val="74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Таблица-сетка 31"/>
    <w:basedOn w:val="74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Таблица-сетка 41"/>
    <w:basedOn w:val="740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6" w:customStyle="1">
    <w:name w:val="Таблица-сетка 5 темная1"/>
    <w:basedOn w:val="74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67" w:customStyle="1">
    <w:name w:val="Таблица-сетка 6 цветная1"/>
    <w:basedOn w:val="74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68" w:customStyle="1">
    <w:name w:val="Таблица-сетка 7 цветная1"/>
    <w:basedOn w:val="74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Список-таблица 1 светлая1"/>
    <w:basedOn w:val="74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Список-таблица 21"/>
    <w:basedOn w:val="740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71" w:customStyle="1">
    <w:name w:val="Список-таблица 31"/>
    <w:basedOn w:val="74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 w:customStyle="1">
    <w:name w:val="Список-таблица 41"/>
    <w:basedOn w:val="74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 w:customStyle="1">
    <w:name w:val="Список-таблица 5 темная1"/>
    <w:basedOn w:val="74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4" w:customStyle="1">
    <w:name w:val="Список-таблица 6 цветная1"/>
    <w:basedOn w:val="74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75" w:customStyle="1">
    <w:name w:val="Список-таблица 7 цветная1"/>
    <w:basedOn w:val="74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character" w:styleId="776" w:customStyle="1">
    <w:name w:val="Footnote Text Char"/>
    <w:uiPriority w:val="99"/>
    <w:rPr>
      <w:sz w:val="18"/>
    </w:rPr>
  </w:style>
  <w:style w:type="character" w:styleId="777" w:customStyle="1">
    <w:name w:val="Endnote Text Char"/>
    <w:uiPriority w:val="99"/>
    <w:rPr>
      <w:sz w:val="20"/>
    </w:rPr>
  </w:style>
  <w:style w:type="character" w:styleId="778" w:customStyle="1">
    <w:name w:val="Заголовок 1 Знак"/>
    <w:link w:val="730"/>
    <w:uiPriority w:val="9"/>
    <w:rPr>
      <w:rFonts w:ascii="Arial" w:hAnsi="Arial" w:eastAsia="Arial" w:cs="Arial"/>
      <w:sz w:val="40"/>
      <w:szCs w:val="40"/>
    </w:rPr>
  </w:style>
  <w:style w:type="character" w:styleId="779" w:customStyle="1">
    <w:name w:val="Заголовок 2 Знак"/>
    <w:link w:val="731"/>
    <w:uiPriority w:val="9"/>
    <w:rPr>
      <w:rFonts w:ascii="Arial" w:hAnsi="Arial" w:eastAsia="Arial" w:cs="Arial"/>
      <w:sz w:val="34"/>
    </w:rPr>
  </w:style>
  <w:style w:type="character" w:styleId="780" w:customStyle="1">
    <w:name w:val="Заголовок 3 Знак"/>
    <w:link w:val="732"/>
    <w:uiPriority w:val="9"/>
    <w:rPr>
      <w:rFonts w:ascii="Arial" w:hAnsi="Arial" w:eastAsia="Arial" w:cs="Arial"/>
      <w:sz w:val="30"/>
      <w:szCs w:val="30"/>
    </w:rPr>
  </w:style>
  <w:style w:type="character" w:styleId="781" w:customStyle="1">
    <w:name w:val="Заголовок 4 Знак"/>
    <w:link w:val="733"/>
    <w:uiPriority w:val="9"/>
    <w:rPr>
      <w:rFonts w:ascii="Arial" w:hAnsi="Arial" w:eastAsia="Arial" w:cs="Arial"/>
      <w:b/>
      <w:bCs/>
      <w:sz w:val="26"/>
      <w:szCs w:val="26"/>
    </w:rPr>
  </w:style>
  <w:style w:type="character" w:styleId="782" w:customStyle="1">
    <w:name w:val="Заголовок 5 Знак"/>
    <w:link w:val="734"/>
    <w:uiPriority w:val="9"/>
    <w:rPr>
      <w:rFonts w:ascii="Arial" w:hAnsi="Arial" w:eastAsia="Arial" w:cs="Arial"/>
      <w:b/>
      <w:bCs/>
      <w:sz w:val="24"/>
      <w:szCs w:val="24"/>
    </w:rPr>
  </w:style>
  <w:style w:type="character" w:styleId="783" w:customStyle="1">
    <w:name w:val="Заголовок 6 Знак"/>
    <w:link w:val="735"/>
    <w:uiPriority w:val="9"/>
    <w:rPr>
      <w:rFonts w:ascii="Arial" w:hAnsi="Arial" w:eastAsia="Arial" w:cs="Arial"/>
      <w:b/>
      <w:bCs/>
      <w:sz w:val="22"/>
      <w:szCs w:val="22"/>
    </w:rPr>
  </w:style>
  <w:style w:type="character" w:styleId="784" w:customStyle="1">
    <w:name w:val="Заголовок 7 Знак"/>
    <w:link w:val="73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85" w:customStyle="1">
    <w:name w:val="Заголовок 8 Знак"/>
    <w:link w:val="737"/>
    <w:uiPriority w:val="9"/>
    <w:rPr>
      <w:rFonts w:ascii="Arial" w:hAnsi="Arial" w:eastAsia="Arial" w:cs="Arial"/>
      <w:i/>
      <w:iCs/>
      <w:sz w:val="22"/>
      <w:szCs w:val="22"/>
    </w:rPr>
  </w:style>
  <w:style w:type="character" w:styleId="786" w:customStyle="1">
    <w:name w:val="Заголовок 9 Знак"/>
    <w:link w:val="738"/>
    <w:uiPriority w:val="9"/>
    <w:rPr>
      <w:rFonts w:ascii="Arial" w:hAnsi="Arial" w:eastAsia="Arial" w:cs="Arial"/>
      <w:i/>
      <w:iCs/>
      <w:sz w:val="21"/>
      <w:szCs w:val="21"/>
    </w:rPr>
  </w:style>
  <w:style w:type="paragraph" w:styleId="787">
    <w:name w:val="Title"/>
    <w:basedOn w:val="729"/>
    <w:next w:val="729"/>
    <w:link w:val="788"/>
    <w:uiPriority w:val="10"/>
    <w:qFormat/>
    <w:pPr>
      <w:contextualSpacing/>
      <w:spacing w:before="300"/>
    </w:pPr>
    <w:rPr>
      <w:sz w:val="48"/>
      <w:szCs w:val="48"/>
    </w:rPr>
  </w:style>
  <w:style w:type="character" w:styleId="788" w:customStyle="1">
    <w:name w:val="Заголовок Знак"/>
    <w:link w:val="787"/>
    <w:uiPriority w:val="10"/>
    <w:rPr>
      <w:sz w:val="48"/>
      <w:szCs w:val="48"/>
    </w:rPr>
  </w:style>
  <w:style w:type="paragraph" w:styleId="789">
    <w:name w:val="Subtitle"/>
    <w:basedOn w:val="729"/>
    <w:next w:val="729"/>
    <w:link w:val="790"/>
    <w:uiPriority w:val="11"/>
    <w:qFormat/>
    <w:pPr>
      <w:spacing w:before="200"/>
    </w:pPr>
    <w:rPr>
      <w:sz w:val="24"/>
      <w:szCs w:val="24"/>
    </w:rPr>
  </w:style>
  <w:style w:type="character" w:styleId="790" w:customStyle="1">
    <w:name w:val="Подзаголовок Знак"/>
    <w:link w:val="789"/>
    <w:uiPriority w:val="11"/>
    <w:rPr>
      <w:sz w:val="24"/>
      <w:szCs w:val="24"/>
    </w:rPr>
  </w:style>
  <w:style w:type="paragraph" w:styleId="791">
    <w:name w:val="Quote"/>
    <w:basedOn w:val="729"/>
    <w:next w:val="729"/>
    <w:link w:val="792"/>
    <w:uiPriority w:val="29"/>
    <w:qFormat/>
    <w:pPr>
      <w:ind w:left="720" w:right="720"/>
    </w:pPr>
    <w:rPr>
      <w:i/>
    </w:rPr>
  </w:style>
  <w:style w:type="character" w:styleId="792" w:customStyle="1">
    <w:name w:val="Цитата 2 Знак"/>
    <w:link w:val="791"/>
    <w:uiPriority w:val="29"/>
    <w:rPr>
      <w:i/>
    </w:rPr>
  </w:style>
  <w:style w:type="paragraph" w:styleId="793">
    <w:name w:val="Intense Quote"/>
    <w:basedOn w:val="729"/>
    <w:next w:val="729"/>
    <w:link w:val="794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94" w:customStyle="1">
    <w:name w:val="Выделенная цитата Знак"/>
    <w:link w:val="793"/>
    <w:uiPriority w:val="30"/>
    <w:rPr>
      <w:i/>
    </w:rPr>
  </w:style>
  <w:style w:type="paragraph" w:styleId="795">
    <w:name w:val="Header"/>
    <w:basedOn w:val="729"/>
    <w:link w:val="79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96" w:customStyle="1">
    <w:name w:val="Верхний колонтитул Знак"/>
    <w:link w:val="795"/>
    <w:uiPriority w:val="99"/>
  </w:style>
  <w:style w:type="paragraph" w:styleId="797">
    <w:name w:val="Footer"/>
    <w:basedOn w:val="729"/>
    <w:link w:val="80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98" w:customStyle="1">
    <w:name w:val="Footer Char"/>
    <w:uiPriority w:val="99"/>
  </w:style>
  <w:style w:type="paragraph" w:styleId="799">
    <w:name w:val="Caption"/>
    <w:basedOn w:val="729"/>
    <w:next w:val="729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styleId="800" w:customStyle="1">
    <w:name w:val="Нижний колонтитул Знак"/>
    <w:link w:val="797"/>
    <w:uiPriority w:val="99"/>
  </w:style>
  <w:style w:type="table" w:styleId="801">
    <w:name w:val="Table Grid"/>
    <w:basedOn w:val="740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802" w:customStyle="1">
    <w:name w:val="Table Grid Light"/>
    <w:basedOn w:val="740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803" w:customStyle="1">
    <w:name w:val="Таблица простая 11"/>
    <w:basedOn w:val="740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04" w:customStyle="1">
    <w:name w:val="Таблица простая 21"/>
    <w:basedOn w:val="740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05" w:customStyle="1">
    <w:name w:val="Таблица простая 31"/>
    <w:basedOn w:val="74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06" w:customStyle="1">
    <w:name w:val="Таблица простая 41"/>
    <w:basedOn w:val="74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 w:customStyle="1">
    <w:name w:val="Таблица простая 51"/>
    <w:basedOn w:val="74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08" w:customStyle="1">
    <w:name w:val="Таблица-сетка 1 светлая1"/>
    <w:basedOn w:val="74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 w:customStyle="1">
    <w:name w:val="Grid Table 1 Light - Accent 1"/>
    <w:basedOn w:val="74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 w:customStyle="1">
    <w:name w:val="Grid Table 1 Light - Accent 2"/>
    <w:basedOn w:val="74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 w:customStyle="1">
    <w:name w:val="Grid Table 1 Light - Accent 3"/>
    <w:basedOn w:val="74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 w:customStyle="1">
    <w:name w:val="Grid Table 1 Light - Accent 4"/>
    <w:basedOn w:val="74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 w:customStyle="1">
    <w:name w:val="Grid Table 1 Light - Accent 5"/>
    <w:basedOn w:val="74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 w:customStyle="1">
    <w:name w:val="Grid Table 1 Light - Accent 6"/>
    <w:basedOn w:val="74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 w:customStyle="1">
    <w:name w:val="Таблица-сетка 21"/>
    <w:basedOn w:val="74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Grid Table 2 - Accent 1"/>
    <w:basedOn w:val="74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Grid Table 2 - Accent 2"/>
    <w:basedOn w:val="74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Grid Table 2 - Accent 3"/>
    <w:basedOn w:val="74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Grid Table 2 - Accent 4"/>
    <w:basedOn w:val="74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Grid Table 2 - Accent 5"/>
    <w:basedOn w:val="74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Grid Table 2 - Accent 6"/>
    <w:basedOn w:val="74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Таблица-сетка 31"/>
    <w:basedOn w:val="74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 w:customStyle="1">
    <w:name w:val="Grid Table 3 - Accent 1"/>
    <w:basedOn w:val="74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 w:customStyle="1">
    <w:name w:val="Grid Table 3 - Accent 2"/>
    <w:basedOn w:val="74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 w:customStyle="1">
    <w:name w:val="Grid Table 3 - Accent 3"/>
    <w:basedOn w:val="74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 w:customStyle="1">
    <w:name w:val="Grid Table 3 - Accent 4"/>
    <w:basedOn w:val="74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 w:customStyle="1">
    <w:name w:val="Grid Table 3 - Accent 5"/>
    <w:basedOn w:val="74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 w:customStyle="1">
    <w:name w:val="Grid Table 3 - Accent 6"/>
    <w:basedOn w:val="74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 w:customStyle="1">
    <w:name w:val="Таблица-сетка 41"/>
    <w:basedOn w:val="740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30" w:customStyle="1">
    <w:name w:val="Grid Table 4 - Accent 1"/>
    <w:basedOn w:val="740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831" w:customStyle="1">
    <w:name w:val="Grid Table 4 - Accent 2"/>
    <w:basedOn w:val="740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832" w:customStyle="1">
    <w:name w:val="Grid Table 4 - Accent 3"/>
    <w:basedOn w:val="740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833" w:customStyle="1">
    <w:name w:val="Grid Table 4 - Accent 4"/>
    <w:basedOn w:val="740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834" w:customStyle="1">
    <w:name w:val="Grid Table 4 - Accent 5"/>
    <w:basedOn w:val="740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835" w:customStyle="1">
    <w:name w:val="Grid Table 4 - Accent 6"/>
    <w:basedOn w:val="740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836" w:customStyle="1">
    <w:name w:val="Таблица-сетка 5 темная1"/>
    <w:basedOn w:val="74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37" w:customStyle="1">
    <w:name w:val="Grid Table 5 Dark- Accent 1"/>
    <w:basedOn w:val="74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838" w:customStyle="1">
    <w:name w:val="Grid Table 5 Dark - Accent 2"/>
    <w:basedOn w:val="74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839" w:customStyle="1">
    <w:name w:val="Grid Table 5 Dark - Accent 3"/>
    <w:basedOn w:val="74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840" w:customStyle="1">
    <w:name w:val="Grid Table 5 Dark- Accent 4"/>
    <w:basedOn w:val="74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841" w:customStyle="1">
    <w:name w:val="Grid Table 5 Dark - Accent 5"/>
    <w:basedOn w:val="74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842" w:customStyle="1">
    <w:name w:val="Grid Table 5 Dark - Accent 6"/>
    <w:basedOn w:val="74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843" w:customStyle="1">
    <w:name w:val="Таблица-сетка 6 цветная1"/>
    <w:basedOn w:val="74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44" w:customStyle="1">
    <w:name w:val="Grid Table 6 Colorful - Accent 1"/>
    <w:basedOn w:val="74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845" w:customStyle="1">
    <w:name w:val="Grid Table 6 Colorful - Accent 2"/>
    <w:basedOn w:val="74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846" w:customStyle="1">
    <w:name w:val="Grid Table 6 Colorful - Accent 3"/>
    <w:basedOn w:val="74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847" w:customStyle="1">
    <w:name w:val="Grid Table 6 Colorful - Accent 4"/>
    <w:basedOn w:val="74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848" w:customStyle="1">
    <w:name w:val="Grid Table 6 Colorful - Accent 5"/>
    <w:basedOn w:val="740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49" w:customStyle="1">
    <w:name w:val="Grid Table 6 Colorful - Accent 6"/>
    <w:basedOn w:val="74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50" w:customStyle="1">
    <w:name w:val="Таблица-сетка 7 цветная1"/>
    <w:basedOn w:val="74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 w:customStyle="1">
    <w:name w:val="Grid Table 7 Colorful - Accent 1"/>
    <w:basedOn w:val="74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 w:customStyle="1">
    <w:name w:val="Grid Table 7 Colorful - Accent 2"/>
    <w:basedOn w:val="74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 w:customStyle="1">
    <w:name w:val="Grid Table 7 Colorful - Accent 3"/>
    <w:basedOn w:val="74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 w:customStyle="1">
    <w:name w:val="Grid Table 7 Colorful - Accent 4"/>
    <w:basedOn w:val="74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 w:customStyle="1">
    <w:name w:val="Grid Table 7 Colorful - Accent 5"/>
    <w:basedOn w:val="74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 w:customStyle="1">
    <w:name w:val="Grid Table 7 Colorful - Accent 6"/>
    <w:basedOn w:val="74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 w:customStyle="1">
    <w:name w:val="Список-таблица 1 светлая1"/>
    <w:basedOn w:val="74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 w:customStyle="1">
    <w:name w:val="List Table 1 Light - Accent 1"/>
    <w:basedOn w:val="74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 w:customStyle="1">
    <w:name w:val="List Table 1 Light - Accent 2"/>
    <w:basedOn w:val="74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 w:customStyle="1">
    <w:name w:val="List Table 1 Light - Accent 3"/>
    <w:basedOn w:val="74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1" w:customStyle="1">
    <w:name w:val="List Table 1 Light - Accent 4"/>
    <w:basedOn w:val="74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2" w:customStyle="1">
    <w:name w:val="List Table 1 Light - Accent 5"/>
    <w:basedOn w:val="74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3" w:customStyle="1">
    <w:name w:val="List Table 1 Light - Accent 6"/>
    <w:basedOn w:val="74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4" w:customStyle="1">
    <w:name w:val="Список-таблица 21"/>
    <w:basedOn w:val="740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65" w:customStyle="1">
    <w:name w:val="List Table 2 - Accent 1"/>
    <w:basedOn w:val="74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866" w:customStyle="1">
    <w:name w:val="List Table 2 - Accent 2"/>
    <w:basedOn w:val="74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67" w:customStyle="1">
    <w:name w:val="List Table 2 - Accent 3"/>
    <w:basedOn w:val="74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68" w:customStyle="1">
    <w:name w:val="List Table 2 - Accent 4"/>
    <w:basedOn w:val="74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69" w:customStyle="1">
    <w:name w:val="List Table 2 - Accent 5"/>
    <w:basedOn w:val="74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70" w:customStyle="1">
    <w:name w:val="List Table 2 - Accent 6"/>
    <w:basedOn w:val="74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71" w:customStyle="1">
    <w:name w:val="Список-таблица 31"/>
    <w:basedOn w:val="74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2" w:customStyle="1">
    <w:name w:val="List Table 3 - Accent 1"/>
    <w:basedOn w:val="740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3" w:customStyle="1">
    <w:name w:val="List Table 3 - Accent 2"/>
    <w:basedOn w:val="74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4" w:customStyle="1">
    <w:name w:val="List Table 3 - Accent 3"/>
    <w:basedOn w:val="74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5" w:customStyle="1">
    <w:name w:val="List Table 3 - Accent 4"/>
    <w:basedOn w:val="74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6" w:customStyle="1">
    <w:name w:val="List Table 3 - Accent 5"/>
    <w:basedOn w:val="740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7" w:customStyle="1">
    <w:name w:val="List Table 3 - Accent 6"/>
    <w:basedOn w:val="74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8" w:customStyle="1">
    <w:name w:val="Список-таблица 41"/>
    <w:basedOn w:val="74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9" w:customStyle="1">
    <w:name w:val="List Table 4 - Accent 1"/>
    <w:basedOn w:val="74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0" w:customStyle="1">
    <w:name w:val="List Table 4 - Accent 2"/>
    <w:basedOn w:val="74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1" w:customStyle="1">
    <w:name w:val="List Table 4 - Accent 3"/>
    <w:basedOn w:val="74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2" w:customStyle="1">
    <w:name w:val="List Table 4 - Accent 4"/>
    <w:basedOn w:val="74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3" w:customStyle="1">
    <w:name w:val="List Table 4 - Accent 5"/>
    <w:basedOn w:val="74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4" w:customStyle="1">
    <w:name w:val="List Table 4 - Accent 6"/>
    <w:basedOn w:val="74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5" w:customStyle="1">
    <w:name w:val="Список-таблица 5 темная1"/>
    <w:basedOn w:val="74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86" w:customStyle="1">
    <w:name w:val="List Table 5 Dark - Accent 1"/>
    <w:basedOn w:val="740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87" w:customStyle="1">
    <w:name w:val="List Table 5 Dark - Accent 2"/>
    <w:basedOn w:val="74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88" w:customStyle="1">
    <w:name w:val="List Table 5 Dark - Accent 3"/>
    <w:basedOn w:val="74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89" w:customStyle="1">
    <w:name w:val="List Table 5 Dark - Accent 4"/>
    <w:basedOn w:val="74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0" w:customStyle="1">
    <w:name w:val="List Table 5 Dark - Accent 5"/>
    <w:basedOn w:val="740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1" w:customStyle="1">
    <w:name w:val="List Table 5 Dark - Accent 6"/>
    <w:basedOn w:val="74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2" w:customStyle="1">
    <w:name w:val="Список-таблица 6 цветная1"/>
    <w:basedOn w:val="74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93" w:customStyle="1">
    <w:name w:val="List Table 6 Colorful - Accent 1"/>
    <w:basedOn w:val="740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94" w:customStyle="1">
    <w:name w:val="List Table 6 Colorful - Accent 2"/>
    <w:basedOn w:val="74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95" w:customStyle="1">
    <w:name w:val="List Table 6 Colorful - Accent 3"/>
    <w:basedOn w:val="74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96" w:customStyle="1">
    <w:name w:val="List Table 6 Colorful - Accent 4"/>
    <w:basedOn w:val="74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97" w:customStyle="1">
    <w:name w:val="List Table 6 Colorful - Accent 5"/>
    <w:basedOn w:val="740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98" w:customStyle="1">
    <w:name w:val="List Table 6 Colorful - Accent 6"/>
    <w:basedOn w:val="74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99" w:customStyle="1">
    <w:name w:val="Список-таблица 7 цветная1"/>
    <w:basedOn w:val="74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0" w:customStyle="1">
    <w:name w:val="List Table 7 Colorful - Accent 1"/>
    <w:basedOn w:val="74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1" w:customStyle="1">
    <w:name w:val="List Table 7 Colorful - Accent 2"/>
    <w:basedOn w:val="74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2" w:customStyle="1">
    <w:name w:val="List Table 7 Colorful - Accent 3"/>
    <w:basedOn w:val="74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3" w:customStyle="1">
    <w:name w:val="List Table 7 Colorful - Accent 4"/>
    <w:basedOn w:val="74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4" w:customStyle="1">
    <w:name w:val="List Table 7 Colorful - Accent 5"/>
    <w:basedOn w:val="74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5" w:customStyle="1">
    <w:name w:val="List Table 7 Colorful - Accent 6"/>
    <w:basedOn w:val="74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6" w:customStyle="1">
    <w:name w:val="Lined - Accent"/>
    <w:basedOn w:val="74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07" w:customStyle="1">
    <w:name w:val="Lined - Accent 1"/>
    <w:basedOn w:val="74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908" w:customStyle="1">
    <w:name w:val="Lined - Accent 2"/>
    <w:basedOn w:val="74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909" w:customStyle="1">
    <w:name w:val="Lined - Accent 3"/>
    <w:basedOn w:val="74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910" w:customStyle="1">
    <w:name w:val="Lined - Accent 4"/>
    <w:basedOn w:val="74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911" w:customStyle="1">
    <w:name w:val="Lined - Accent 5"/>
    <w:basedOn w:val="74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912" w:customStyle="1">
    <w:name w:val="Lined - Accent 6"/>
    <w:basedOn w:val="74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913" w:customStyle="1">
    <w:name w:val="Bordered &amp; Lined - Accent"/>
    <w:basedOn w:val="74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14" w:customStyle="1">
    <w:name w:val="Bordered &amp; Lined - Accent 1"/>
    <w:basedOn w:val="74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915" w:customStyle="1">
    <w:name w:val="Bordered &amp; Lined - Accent 2"/>
    <w:basedOn w:val="74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916" w:customStyle="1">
    <w:name w:val="Bordered &amp; Lined - Accent 3"/>
    <w:basedOn w:val="74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917" w:customStyle="1">
    <w:name w:val="Bordered &amp; Lined - Accent 4"/>
    <w:basedOn w:val="74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918" w:customStyle="1">
    <w:name w:val="Bordered &amp; Lined - Accent 5"/>
    <w:basedOn w:val="74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919" w:customStyle="1">
    <w:name w:val="Bordered &amp; Lined - Accent 6"/>
    <w:basedOn w:val="74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920" w:customStyle="1">
    <w:name w:val="Bordered"/>
    <w:basedOn w:val="74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21" w:customStyle="1">
    <w:name w:val="Bordered - Accent 1"/>
    <w:basedOn w:val="74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922" w:customStyle="1">
    <w:name w:val="Bordered - Accent 2"/>
    <w:basedOn w:val="74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923" w:customStyle="1">
    <w:name w:val="Bordered - Accent 3"/>
    <w:basedOn w:val="74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924" w:customStyle="1">
    <w:name w:val="Bordered - Accent 4"/>
    <w:basedOn w:val="74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925" w:customStyle="1">
    <w:name w:val="Bordered - Accent 5"/>
    <w:basedOn w:val="74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926" w:customStyle="1">
    <w:name w:val="Bordered - Accent 6"/>
    <w:basedOn w:val="74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927">
    <w:name w:val="Hyperlink"/>
    <w:uiPriority w:val="99"/>
    <w:unhideWhenUsed/>
    <w:rPr>
      <w:color w:val="0563c1" w:themeColor="hyperlink"/>
      <w:u w:val="single"/>
    </w:rPr>
  </w:style>
  <w:style w:type="paragraph" w:styleId="928">
    <w:name w:val="footnote text"/>
    <w:basedOn w:val="729"/>
    <w:link w:val="929"/>
    <w:uiPriority w:val="99"/>
    <w:semiHidden/>
    <w:unhideWhenUsed/>
    <w:pPr>
      <w:spacing w:after="40" w:line="240" w:lineRule="auto"/>
    </w:pPr>
    <w:rPr>
      <w:sz w:val="18"/>
    </w:rPr>
  </w:style>
  <w:style w:type="character" w:styleId="929" w:customStyle="1">
    <w:name w:val="Текст сноски Знак"/>
    <w:link w:val="928"/>
    <w:uiPriority w:val="99"/>
    <w:rPr>
      <w:sz w:val="18"/>
    </w:rPr>
  </w:style>
  <w:style w:type="character" w:styleId="930">
    <w:name w:val="footnote reference"/>
    <w:uiPriority w:val="99"/>
    <w:unhideWhenUsed/>
    <w:rPr>
      <w:vertAlign w:val="superscript"/>
    </w:rPr>
  </w:style>
  <w:style w:type="paragraph" w:styleId="931">
    <w:name w:val="endnote text"/>
    <w:basedOn w:val="729"/>
    <w:link w:val="932"/>
    <w:uiPriority w:val="99"/>
    <w:semiHidden/>
    <w:unhideWhenUsed/>
    <w:pPr>
      <w:spacing w:after="0" w:line="240" w:lineRule="auto"/>
    </w:pPr>
    <w:rPr>
      <w:sz w:val="20"/>
    </w:rPr>
  </w:style>
  <w:style w:type="character" w:styleId="932" w:customStyle="1">
    <w:name w:val="Текст концевой сноски Знак"/>
    <w:link w:val="931"/>
    <w:uiPriority w:val="99"/>
    <w:rPr>
      <w:sz w:val="20"/>
    </w:rPr>
  </w:style>
  <w:style w:type="character" w:styleId="933">
    <w:name w:val="endnote reference"/>
    <w:uiPriority w:val="99"/>
    <w:semiHidden/>
    <w:unhideWhenUsed/>
    <w:rPr>
      <w:vertAlign w:val="superscript"/>
    </w:rPr>
  </w:style>
  <w:style w:type="paragraph" w:styleId="934">
    <w:name w:val="toc 1"/>
    <w:basedOn w:val="729"/>
    <w:next w:val="729"/>
    <w:uiPriority w:val="39"/>
    <w:unhideWhenUsed/>
    <w:pPr>
      <w:spacing w:after="57"/>
    </w:pPr>
  </w:style>
  <w:style w:type="paragraph" w:styleId="935">
    <w:name w:val="toc 2"/>
    <w:basedOn w:val="729"/>
    <w:next w:val="729"/>
    <w:uiPriority w:val="39"/>
    <w:unhideWhenUsed/>
    <w:pPr>
      <w:ind w:left="283"/>
      <w:spacing w:after="57"/>
    </w:pPr>
  </w:style>
  <w:style w:type="paragraph" w:styleId="936">
    <w:name w:val="toc 3"/>
    <w:basedOn w:val="729"/>
    <w:next w:val="729"/>
    <w:uiPriority w:val="39"/>
    <w:unhideWhenUsed/>
    <w:pPr>
      <w:ind w:left="567"/>
      <w:spacing w:after="57"/>
    </w:pPr>
  </w:style>
  <w:style w:type="paragraph" w:styleId="937">
    <w:name w:val="toc 4"/>
    <w:basedOn w:val="729"/>
    <w:next w:val="729"/>
    <w:uiPriority w:val="39"/>
    <w:unhideWhenUsed/>
    <w:pPr>
      <w:ind w:left="850"/>
      <w:spacing w:after="57"/>
    </w:pPr>
  </w:style>
  <w:style w:type="paragraph" w:styleId="938">
    <w:name w:val="toc 5"/>
    <w:basedOn w:val="729"/>
    <w:next w:val="729"/>
    <w:uiPriority w:val="39"/>
    <w:unhideWhenUsed/>
    <w:pPr>
      <w:ind w:left="1134"/>
      <w:spacing w:after="57"/>
    </w:pPr>
  </w:style>
  <w:style w:type="paragraph" w:styleId="939">
    <w:name w:val="toc 6"/>
    <w:basedOn w:val="729"/>
    <w:next w:val="729"/>
    <w:uiPriority w:val="39"/>
    <w:unhideWhenUsed/>
    <w:pPr>
      <w:ind w:left="1417"/>
      <w:spacing w:after="57"/>
    </w:pPr>
  </w:style>
  <w:style w:type="paragraph" w:styleId="940">
    <w:name w:val="toc 7"/>
    <w:basedOn w:val="729"/>
    <w:next w:val="729"/>
    <w:uiPriority w:val="39"/>
    <w:unhideWhenUsed/>
    <w:pPr>
      <w:ind w:left="1701"/>
      <w:spacing w:after="57"/>
    </w:pPr>
  </w:style>
  <w:style w:type="paragraph" w:styleId="941">
    <w:name w:val="toc 8"/>
    <w:basedOn w:val="729"/>
    <w:next w:val="729"/>
    <w:uiPriority w:val="39"/>
    <w:unhideWhenUsed/>
    <w:pPr>
      <w:ind w:left="1984"/>
      <w:spacing w:after="57"/>
    </w:pPr>
  </w:style>
  <w:style w:type="paragraph" w:styleId="942">
    <w:name w:val="toc 9"/>
    <w:basedOn w:val="729"/>
    <w:next w:val="729"/>
    <w:uiPriority w:val="39"/>
    <w:unhideWhenUsed/>
    <w:pPr>
      <w:ind w:left="2268"/>
      <w:spacing w:after="57"/>
    </w:pPr>
  </w:style>
  <w:style w:type="paragraph" w:styleId="943">
    <w:name w:val="TOC Heading"/>
    <w:uiPriority w:val="39"/>
    <w:unhideWhenUsed/>
  </w:style>
  <w:style w:type="paragraph" w:styleId="944">
    <w:name w:val="table of figures"/>
    <w:basedOn w:val="729"/>
    <w:next w:val="729"/>
    <w:uiPriority w:val="99"/>
    <w:unhideWhenUsed/>
    <w:pPr>
      <w:spacing w:after="0"/>
    </w:pPr>
  </w:style>
  <w:style w:type="paragraph" w:styleId="945">
    <w:name w:val="No Spacing"/>
    <w:basedOn w:val="729"/>
    <w:uiPriority w:val="1"/>
    <w:qFormat/>
    <w:pPr>
      <w:spacing w:after="0" w:line="240" w:lineRule="auto"/>
    </w:pPr>
  </w:style>
  <w:style w:type="paragraph" w:styleId="946">
    <w:name w:val="List Paragraph"/>
    <w:basedOn w:val="729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https://dagestan.digital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Company>Министерство Экономики РД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Hava</dc:creator>
  <cp:lastModifiedBy>Надир Рамазанов</cp:lastModifiedBy>
  <cp:revision>61</cp:revision>
  <dcterms:created xsi:type="dcterms:W3CDTF">2023-05-05T14:42:00Z</dcterms:created>
  <dcterms:modified xsi:type="dcterms:W3CDTF">2024-01-10T11:40:22Z</dcterms:modified>
</cp:coreProperties>
</file>